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备案号：闽榕械备20240005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过碘酸雪夫染色液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测试包装规格：20测试/盒、40测试/盒、80测试/盒、100测试/盒、200测试/盒、500测试/盒、1000测试/盒套组包装规格：4*10mL、4*20mL、4*40mL、4*50mL、4*100mL、4*250mL、4*500mL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2~8℃避光保存，有效期为12个月。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高碘酸溶液（A液）、Schiff溶液（B液）、偏重亚硫酸钠分化液（C液）和Mayer苏木素染色液（D液）组成。高碘酸溶液（A液）由高碘酸和水组成；Schiff溶液（B液）由碱性品红、盐酸、偏重亚硫酸钠、活性炭和水组成；偏重亚硫酸钠分化液（C液）由偏重亚硫酸钠和水组成；Mayer苏木素染色液（D液）由苏木精、碘酸钠、硫酸铝铵、柠檬酸、水合氯醛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用于人体组织样本、细胞样本中糖原、粘多糖的染色。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</w:t>
            </w:r>
            <w:r>
              <w:rPr>
                <w:rFonts w:hint="eastAsia" w:ascii="仿宋_GB2312" w:hAnsi="Times New Roman" w:eastAsia="仿宋_GB2312" w:cs="Times New Roma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</w:rPr>
              <w:t>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</w:rPr>
            </w:pPr>
            <w:bookmarkStart w:id="0" w:name="_GoBack"/>
            <w:r>
              <w:rPr>
                <w:rFonts w:hint="eastAsia" w:ascii="仿宋_GB2312" w:hAnsi="Times New Roman" w:eastAsia="仿宋_GB2312" w:cs="Times New Roman"/>
                <w:szCs w:val="21"/>
              </w:rPr>
              <w:t>2024年2月5日</w:t>
            </w:r>
            <w:r>
              <w:rPr>
                <w:rFonts w:hint="eastAsia" w:ascii="Times New Roman" w:hAnsi="Times New Roman" w:eastAsia="仿宋_GB2312" w:cs="Times New Roman"/>
              </w:rPr>
              <w:t>，</w:t>
            </w:r>
            <w:r>
              <w:rPr>
                <w:rFonts w:hint="eastAsia" w:ascii="仿宋_GB2312" w:eastAsia="仿宋_GB2312"/>
              </w:rPr>
              <w:t>该企业申请产品备案。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2024年5月29日，</w:t>
            </w:r>
            <w:r>
              <w:rPr>
                <w:rFonts w:hint="eastAsia" w:ascii="仿宋_GB2312" w:hAnsi="Times New Roman" w:eastAsia="仿宋_GB2312"/>
                <w:szCs w:val="21"/>
              </w:rPr>
              <w:t>备案人变更产品技术要</w:t>
            </w:r>
            <w:r>
              <w:rPr>
                <w:rFonts w:hint="eastAsia" w:ascii="宋体" w:hAnsi="宋体" w:eastAsia="仿宋" w:cs="宋体"/>
                <w:szCs w:val="21"/>
              </w:rPr>
              <w:t>求</w:t>
            </w:r>
            <w:r>
              <w:rPr>
                <w:rFonts w:hint="eastAsia" w:ascii="仿宋_GB2312" w:hAnsi="Times New Roman" w:eastAsia="仿宋_GB2312"/>
                <w:szCs w:val="21"/>
              </w:rPr>
              <w:t>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2024年8月16日，企业变更技术要求。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2024年10月28日，型号规格由“包装规格： 10ml/瓶*3瓶/套、20ml/瓶*3瓶/套、50ml/瓶*3瓶/套、100ml/瓶*3瓶/套、500ml/瓶*3瓶/套”变更为“1.单包装规格：100mL/瓶、250mL/瓶、500mL/瓶；2.套组包装规格：5测试/盒、10测试/盒、20测试/盒、50测试/盒、100测试/盒。3.套组包装规格：10mL/瓶*3瓶/套、20mL/瓶*3瓶/套、50mL/瓶*3瓶/套、100mL/瓶*3瓶/套、500mL瓶*3瓶/套”，预期用途由“主要用于组织细胞学染色从而定性检测组织切片中的糖原、粘多糖”变更为“用于人体组织样本、细胞样本中糖原、粘多糖的染色”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2025年3月28日，</w:t>
            </w:r>
            <w:r>
              <w:rPr>
                <w:rFonts w:hint="eastAsia" w:ascii="仿宋_GB2312" w:hAnsi="Times New Roman" w:eastAsia="仿宋_GB2312" w:cs="Times New Roman"/>
              </w:rPr>
              <w:t>型号规格由“1.单包装规格：100mL/瓶、250mL/瓶、500mL/瓶；2.套组包装规格：5测试/盒、10测试/盒、20测试/盒、50测试/盒、100测试/盒。3.套组包装规格：10mL/瓶*3瓶/套、20mL/瓶*3瓶/套、50mL/瓶*3瓶/套、100mL/瓶*3瓶/套、500mL瓶*3瓶/套。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”变更为“测试包装规格：20测试/盒、40测试/盒、80测试/盒、100测试/盒、200测试/盒、500测试/盒、1000测试/盒套组包装规格：4*10mL、4*20mL、4*40mL、4*50mL、4*100mL、4*250mL、4*500mL”；</w:t>
            </w:r>
            <w:r>
              <w:rPr>
                <w:rFonts w:hint="eastAsia" w:ascii="仿宋_GB2312" w:eastAsia="仿宋_GB2312"/>
              </w:rPr>
              <w:t>主要组成成分</w:t>
            </w:r>
            <w:r>
              <w:rPr>
                <w:rFonts w:hint="eastAsia" w:ascii="仿宋_GB2312" w:eastAsia="仿宋_GB2312"/>
                <w:lang w:eastAsia="zh-CN"/>
              </w:rPr>
              <w:t>由“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高碘酸溶液（A液）、Schiff溶液（B液）和偏重亚硫酸钠分化液（C液）组成。高碘酸溶液（A液）由高碘酸和纯化水组成；Schiff溶液（B液）由碱性品红、盐酸、偏重亚硫酸钠、活性炭和纯化水组成；偏重亚硫酸钠分化液（C液）由偏重亚硫酸钠和纯化水组成。</w:t>
            </w:r>
            <w:r>
              <w:rPr>
                <w:rFonts w:hint="eastAsia" w:ascii="仿宋_GB2312" w:eastAsia="仿宋_GB2312"/>
                <w:lang w:eastAsia="zh-CN"/>
              </w:rPr>
              <w:t>”变更为“本试剂为染色液组合套装，由高碘酸溶液（A液）、Schiff溶液（B液）、偏重亚硫酸钠分化液（C液）和Mayer苏木素染色液（D液）组成。高碘酸溶液（A液）由高碘酸和水组成；Schiff溶液（B液）由碱性品红、盐酸、偏重亚硫酸钠、活性炭和水组成；偏重亚硫酸钠分化液（C液）由偏重亚硫酸钠和水组成；Mayer苏木素染色液（D液）由苏木精、碘酸钠、硫酸铝铵、柠檬酸、水合氯醛和水组成。”</w:t>
            </w:r>
            <w:bookmarkEnd w:id="0"/>
          </w:p>
        </w:tc>
      </w:tr>
    </w:tbl>
    <w:p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B46EE"/>
    <w:rsid w:val="008B6DBF"/>
    <w:rsid w:val="008C10A8"/>
    <w:rsid w:val="008D5631"/>
    <w:rsid w:val="008E72E2"/>
    <w:rsid w:val="008F2338"/>
    <w:rsid w:val="00900492"/>
    <w:rsid w:val="009A042A"/>
    <w:rsid w:val="009C1CCE"/>
    <w:rsid w:val="009D43F5"/>
    <w:rsid w:val="009E2986"/>
    <w:rsid w:val="00A249C0"/>
    <w:rsid w:val="00A41A52"/>
    <w:rsid w:val="00A47216"/>
    <w:rsid w:val="00A8610C"/>
    <w:rsid w:val="00A925CA"/>
    <w:rsid w:val="00AD612E"/>
    <w:rsid w:val="00B33139"/>
    <w:rsid w:val="00B85D07"/>
    <w:rsid w:val="00B9405E"/>
    <w:rsid w:val="00BA2A47"/>
    <w:rsid w:val="00BA4529"/>
    <w:rsid w:val="00BA69ED"/>
    <w:rsid w:val="00BE1272"/>
    <w:rsid w:val="00BE3B7A"/>
    <w:rsid w:val="00BF0EF4"/>
    <w:rsid w:val="00BF711C"/>
    <w:rsid w:val="00C45B42"/>
    <w:rsid w:val="00C55A0B"/>
    <w:rsid w:val="00C6505A"/>
    <w:rsid w:val="00C86B25"/>
    <w:rsid w:val="00CF2D6C"/>
    <w:rsid w:val="00D035F6"/>
    <w:rsid w:val="00D80BE1"/>
    <w:rsid w:val="00D87C9E"/>
    <w:rsid w:val="00D93105"/>
    <w:rsid w:val="00D97CB8"/>
    <w:rsid w:val="00DC0408"/>
    <w:rsid w:val="00DE7A49"/>
    <w:rsid w:val="00E03B58"/>
    <w:rsid w:val="00E62E20"/>
    <w:rsid w:val="00E64409"/>
    <w:rsid w:val="00EC1F76"/>
    <w:rsid w:val="00EE40E4"/>
    <w:rsid w:val="00F17C7E"/>
    <w:rsid w:val="00F21C6C"/>
    <w:rsid w:val="00F23577"/>
    <w:rsid w:val="00F30A50"/>
    <w:rsid w:val="00F607E5"/>
    <w:rsid w:val="00FB3049"/>
    <w:rsid w:val="00FE4136"/>
    <w:rsid w:val="13472B78"/>
    <w:rsid w:val="26F61DB4"/>
    <w:rsid w:val="32A73EE9"/>
    <w:rsid w:val="32D761CC"/>
    <w:rsid w:val="33AE5326"/>
    <w:rsid w:val="473F1D86"/>
    <w:rsid w:val="50976F5A"/>
    <w:rsid w:val="6D4E10C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2025-03-28T07:09:50Z</cp:lastPrinted>
  <dcterms:modified xsi:type="dcterms:W3CDTF">2025-03-28T07:10:12Z</dcterms:modified>
  <dc:title>第一类体外诊断试剂备案信息表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