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福州市网红餐饮店示范提A指引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一、基础设施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建设指引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（一）厨房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1.墙裙铺设至墙顶，并安装吊顶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2.地面耐磨平整不积水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3.排气设施功率应与业态相匹配。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4.操作台面（含灶台）使用不锈钢。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.使用透明隔断，操作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可视。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（二）打包间（备餐间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打包间透明隔断、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不锈钢台面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2.需设置一次性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餐具存储柜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，餐具不可放置地面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3.一次性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餐具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应从正规厂家购买，留存供货者的资质凭证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.打包区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根据经营业态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设置相应的冷藏或者保温设施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（三）面积与生产量（参考推荐）</w:t>
      </w:r>
    </w:p>
    <w:tbl>
      <w:tblPr>
        <w:tblStyle w:val="3"/>
        <w:tblpPr w:leftFromText="180" w:rightFromText="180" w:vertAnchor="text" w:horzAnchor="page" w:tblpX="585" w:tblpY="588"/>
        <w:tblOverlap w:val="never"/>
        <w:tblW w:w="10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2"/>
        <w:gridCol w:w="1271"/>
        <w:gridCol w:w="1363"/>
        <w:gridCol w:w="1268"/>
        <w:gridCol w:w="1065"/>
        <w:gridCol w:w="228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加工经营场所面积（</w:t>
            </w: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 w:ascii="Calibri" w:hAnsi="Calibri" w:cs="Calibri" w:eastAsiaTheme="minorEastAsia"/>
                <w:sz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食品处理区与就餐场所面积之比（推荐）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切配烹饪场所面积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专间（或专区）面积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打包专区面积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面积与单班最大生产份数之比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无堂食网络餐饮店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20%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1:2.0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（单班60~100份）（每月3600~6000份）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20%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1:2.2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（单班110~330份）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（每月6600~19800份）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20%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10%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1:2.3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（单班345~460份）（每月20700~27600份）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超过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200m</w:t>
            </w:r>
            <w:r>
              <w:rPr>
                <w:rFonts w:hint="eastAsia" w:ascii="Calibri" w:hAnsi="Calibri" w:cs="Calibri" w:eastAsiaTheme="minorEastAsia"/>
                <w:color w:val="auto"/>
                <w:sz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Calibri" w:hAnsi="Calibri" w:cs="Calibri" w:eastAsiaTheme="minorEastAsia"/>
                <w:color w:val="auto"/>
                <w:sz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Calibri" w:hAnsi="Calibri" w:cs="Calibri"/>
                <w:color w:val="auto"/>
                <w:sz w:val="21"/>
                <w:vertAlign w:val="baseline"/>
                <w:lang w:val="en-US" w:eastAsia="zh-CN"/>
              </w:rPr>
              <w:t>应申请集体用餐配送资质。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有就餐场所网络餐饮店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1:1.5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 w:ascii="Calibri" w:hAnsi="Calibri" w:cs="Calibri" w:eastAsiaTheme="minorEastAsia"/>
                <w:sz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 w:ascii="Calibri" w:hAnsi="Calibri" w:cs="Calibri" w:eastAsiaTheme="minorEastAsia"/>
                <w:sz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1:0.5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（单班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≤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25份</w:t>
            </w:r>
            <w:r>
              <w:rPr>
                <w:rFonts w:hint="eastAsia"/>
                <w:vertAlign w:val="baseline"/>
                <w:lang w:val="en-US" w:eastAsia="zh-CN"/>
              </w:rPr>
              <w:t>）（每月1500份）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1:2.0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10%，且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 w:ascii="Calibri" w:hAnsi="Calibri" w:cs="Calibri" w:eastAsiaTheme="minorEastAsia"/>
                <w:sz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 w:ascii="Calibri" w:hAnsi="Calibri" w:cs="Calibri" w:eastAsiaTheme="minorEastAsia"/>
                <w:sz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1:0.6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（单班30~90份）（每月1800~5400份）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1:2.2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1:1.0，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单班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250份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&gt;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1:2.5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50%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10%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≥食品处理区面积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5%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单班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250份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卫生</w:t>
      </w:r>
      <w:r>
        <w:rPr>
          <w:rFonts w:hint="eastAsia" w:ascii="黑体" w:hAnsi="黑体" w:eastAsia="黑体" w:cs="黑体"/>
          <w:sz w:val="32"/>
          <w:szCs w:val="32"/>
        </w:rPr>
        <w:t>管理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管理指引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卫生做到每天一小整、一周一大整， 应定期查杀蟑螂、老鼠、苍蝇等危害食品卫生安全的虫害。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灭蝇灯（建议紫外线诱捕式）灯网内无杂物和死蝇，使用正常。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炉灶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灶台保持不锈钢本色，无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积垢，无</w:t>
      </w:r>
      <w:r>
        <w:rPr>
          <w:rFonts w:hint="eastAsia" w:ascii="仿宋_GB2312" w:hAnsi="仿宋_GB2312" w:eastAsia="仿宋_GB2312" w:cs="仿宋_GB2312"/>
          <w:sz w:val="32"/>
          <w:szCs w:val="32"/>
        </w:rPr>
        <w:t>油垢，无杂物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调味品容器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下班</w:t>
      </w:r>
      <w:r>
        <w:rPr>
          <w:rFonts w:hint="eastAsia" w:ascii="仿宋_GB2312" w:hAnsi="仿宋_GB2312" w:eastAsia="仿宋_GB2312" w:cs="仿宋_GB2312"/>
          <w:sz w:val="32"/>
          <w:szCs w:val="32"/>
        </w:rPr>
        <w:t>后应封闭存储，防止异物混入。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定期清洗更换调味品容器。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切配区域卫生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砧板、刀具应生熟分类使用，每天清洗并归类，定期消毒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刀具须清洗干净、无油垢、无锈透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冰箱卫生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冰箱定期化霜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保持冰箱内外清洁，无积水、无异味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冰箱内食品，熟食必须密闭保存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，无私人物品。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地板、水池区域卫生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保持地面无油渍、无水迹、无杂物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，不滑，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无卫生死角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垃圾桶必须及时清理，保持干净，加盖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水池须保持干净、无油垢、无杂物、无破损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，水流畅通。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地沟保持畅通无杂物、无异味、无污垢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打包间卫生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保温柜表面、内部四壁、内部层架、门封条无积垢、无油渍、无异物。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打包台面无灰尘、无油渍、无异物。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仓库卫生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仓库物品摆放整齐、干净，货架无灰尘，不得存放私人物品，地面无杂物。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干货存储柜无变质原料，干净、清洁。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B1"/>
    <w:rsid w:val="003D4E28"/>
    <w:rsid w:val="004C4ACD"/>
    <w:rsid w:val="005D62DD"/>
    <w:rsid w:val="006E3305"/>
    <w:rsid w:val="00881D67"/>
    <w:rsid w:val="00BB63B1"/>
    <w:rsid w:val="00CD33F1"/>
    <w:rsid w:val="00D04F8E"/>
    <w:rsid w:val="00FA1CB7"/>
    <w:rsid w:val="0169614F"/>
    <w:rsid w:val="0293573F"/>
    <w:rsid w:val="05903FC6"/>
    <w:rsid w:val="10BD4F87"/>
    <w:rsid w:val="11063E0D"/>
    <w:rsid w:val="15D62F9F"/>
    <w:rsid w:val="203850BC"/>
    <w:rsid w:val="209C2955"/>
    <w:rsid w:val="2227343D"/>
    <w:rsid w:val="29A66AF1"/>
    <w:rsid w:val="2EE106C3"/>
    <w:rsid w:val="335852F4"/>
    <w:rsid w:val="3BC37208"/>
    <w:rsid w:val="43FE6C70"/>
    <w:rsid w:val="468460DB"/>
    <w:rsid w:val="499F2B42"/>
    <w:rsid w:val="4BF109BE"/>
    <w:rsid w:val="57A5751D"/>
    <w:rsid w:val="71AD1356"/>
    <w:rsid w:val="735B23CE"/>
    <w:rsid w:val="799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450</Characters>
  <Lines>3</Lines>
  <Paragraphs>1</Paragraphs>
  <TotalTime>18</TotalTime>
  <ScaleCrop>false</ScaleCrop>
  <LinksUpToDate>false</LinksUpToDate>
  <CharactersWithSpaces>527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2021-10-13T08:26:00Z</dcterms:created>
  <dc:creator>jfwl</dc:creator>
  <cp:lastModifiedBy>嫣</cp:lastModifiedBy>
  <cp:lastPrinted>2021-11-01T02:59:00Z</cp:lastPrinted>
  <dcterms:modified xsi:type="dcterms:W3CDTF">2021-11-05T02:26:50Z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E369218C59CA45249A656EA6018FDE60</vt:lpwstr>
  </property>
</Properties>
</file>