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宋体" w:eastAsia="黑体"/>
          <w:spacing w:val="6"/>
          <w:sz w:val="28"/>
          <w:szCs w:val="28"/>
        </w:rPr>
      </w:pPr>
      <w:r>
        <w:rPr>
          <w:rFonts w:hint="eastAsia" w:ascii="黑体" w:hAnsi="宋体" w:eastAsia="黑体"/>
          <w:spacing w:val="6"/>
          <w:sz w:val="28"/>
          <w:szCs w:val="28"/>
        </w:rPr>
        <w:t>《</w:t>
      </w:r>
      <w:r>
        <w:rPr>
          <w:rFonts w:ascii="黑体" w:hAnsi="宋体" w:eastAsia="黑体"/>
          <w:spacing w:val="6"/>
          <w:sz w:val="28"/>
          <w:szCs w:val="28"/>
        </w:rPr>
        <w:t>福州市入河排放口</w:t>
      </w:r>
      <w:r>
        <w:rPr>
          <w:rFonts w:hint="eastAsia" w:ascii="黑体" w:hAnsi="宋体" w:eastAsia="黑体"/>
          <w:spacing w:val="6"/>
          <w:sz w:val="28"/>
          <w:szCs w:val="28"/>
        </w:rPr>
        <w:t>排查</w:t>
      </w:r>
      <w:r>
        <w:rPr>
          <w:rFonts w:ascii="黑体" w:hAnsi="宋体" w:eastAsia="黑体"/>
          <w:spacing w:val="6"/>
          <w:sz w:val="28"/>
          <w:szCs w:val="28"/>
        </w:rPr>
        <w:t>和</w:t>
      </w:r>
      <w:r>
        <w:rPr>
          <w:rFonts w:hint="eastAsia" w:ascii="黑体" w:hAnsi="宋体" w:eastAsia="黑体"/>
          <w:spacing w:val="6"/>
          <w:sz w:val="28"/>
          <w:szCs w:val="28"/>
        </w:rPr>
        <w:t>治理</w:t>
      </w:r>
      <w:r>
        <w:rPr>
          <w:rFonts w:ascii="黑体" w:hAnsi="宋体" w:eastAsia="黑体"/>
          <w:spacing w:val="6"/>
          <w:sz w:val="28"/>
          <w:szCs w:val="28"/>
        </w:rPr>
        <w:t>技术导则</w:t>
      </w:r>
      <w:r>
        <w:rPr>
          <w:rFonts w:hint="eastAsia" w:ascii="黑体" w:hAnsi="宋体" w:eastAsia="黑体"/>
          <w:spacing w:val="6"/>
          <w:sz w:val="28"/>
          <w:szCs w:val="28"/>
        </w:rPr>
        <w:t>》</w:t>
      </w:r>
      <w:bookmarkStart w:id="6" w:name="_GoBack"/>
      <w:bookmarkEnd w:id="6"/>
    </w:p>
    <w:p>
      <w:pPr>
        <w:jc w:val="center"/>
        <w:outlineLvl w:val="0"/>
        <w:rPr>
          <w:rFonts w:hint="eastAsia" w:ascii="黑体" w:hAnsi="宋体" w:eastAsia="黑体"/>
          <w:spacing w:val="6"/>
          <w:sz w:val="28"/>
          <w:szCs w:val="28"/>
        </w:rPr>
      </w:pPr>
      <w:r>
        <w:rPr>
          <w:rFonts w:hint="eastAsia" w:ascii="黑体" w:hAnsi="宋体" w:eastAsia="黑体"/>
          <w:spacing w:val="6"/>
          <w:sz w:val="28"/>
          <w:szCs w:val="28"/>
        </w:rPr>
        <w:t>（征求意见稿）</w:t>
      </w:r>
    </w:p>
    <w:p>
      <w:pPr>
        <w:jc w:val="center"/>
        <w:outlineLvl w:val="0"/>
        <w:rPr>
          <w:rFonts w:ascii="黑体" w:hAnsi="宋体" w:eastAsia="黑体"/>
          <w:spacing w:val="6"/>
          <w:sz w:val="28"/>
          <w:szCs w:val="28"/>
        </w:rPr>
      </w:pPr>
      <w:r>
        <w:rPr>
          <w:rFonts w:hint="eastAsia" w:ascii="黑体" w:hAnsi="宋体" w:eastAsia="黑体"/>
          <w:spacing w:val="6"/>
          <w:sz w:val="28"/>
          <w:szCs w:val="28"/>
        </w:rPr>
        <w:t>编制说明</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一、工作简况</w:t>
      </w:r>
    </w:p>
    <w:p>
      <w:pPr>
        <w:pStyle w:val="16"/>
        <w:spacing w:line="360" w:lineRule="auto"/>
        <w:ind w:firstLine="560"/>
        <w:rPr>
          <w:rFonts w:hAnsi="宋体"/>
          <w:sz w:val="28"/>
          <w:szCs w:val="28"/>
        </w:rPr>
      </w:pPr>
      <w:r>
        <w:rPr>
          <w:rFonts w:hint="eastAsia" w:hAnsi="宋体"/>
          <w:sz w:val="28"/>
          <w:szCs w:val="28"/>
        </w:rPr>
        <w:t>根据福州市市场监督管理局关于印发2021年福州市地方标准制修订计划项目的通知（榕市监标准〔2021〕281号），制定本标准。</w:t>
      </w:r>
    </w:p>
    <w:p>
      <w:pPr>
        <w:pStyle w:val="16"/>
        <w:spacing w:line="360" w:lineRule="auto"/>
        <w:ind w:firstLine="560"/>
        <w:rPr>
          <w:rFonts w:hAnsi="宋体"/>
          <w:sz w:val="28"/>
          <w:szCs w:val="28"/>
        </w:rPr>
      </w:pPr>
      <w:r>
        <w:rPr>
          <w:rFonts w:hint="eastAsia" w:hAnsi="宋体"/>
          <w:sz w:val="28"/>
          <w:szCs w:val="28"/>
        </w:rPr>
        <w:t>本标准由福州市生态环境局</w:t>
      </w:r>
      <w:r>
        <w:rPr>
          <w:rFonts w:hAnsi="宋体"/>
          <w:sz w:val="28"/>
          <w:szCs w:val="28"/>
        </w:rPr>
        <w:t>归口。</w:t>
      </w:r>
      <w:r>
        <w:rPr>
          <w:rFonts w:hint="eastAsia" w:hAnsi="宋体"/>
          <w:sz w:val="28"/>
          <w:szCs w:val="28"/>
        </w:rPr>
        <w:t>起草</w:t>
      </w:r>
      <w:r>
        <w:rPr>
          <w:rFonts w:hAnsi="宋体"/>
          <w:sz w:val="28"/>
          <w:szCs w:val="28"/>
        </w:rPr>
        <w:t>单位</w:t>
      </w:r>
      <w:r>
        <w:rPr>
          <w:rFonts w:hint="eastAsia" w:hAnsi="宋体"/>
          <w:sz w:val="28"/>
          <w:szCs w:val="28"/>
        </w:rPr>
        <w:t>包括</w:t>
      </w:r>
      <w:r>
        <w:rPr>
          <w:rFonts w:hAnsi="宋体"/>
          <w:sz w:val="28"/>
          <w:szCs w:val="28"/>
        </w:rPr>
        <w:t>：</w:t>
      </w:r>
      <w:r>
        <w:rPr>
          <w:rFonts w:hint="eastAsia" w:hAnsi="宋体"/>
          <w:sz w:val="28"/>
          <w:szCs w:val="28"/>
        </w:rPr>
        <w:t>福州市环境科学研究院、长乐生态环境保护监测站、连江县生态环境保护监测站、福州市闽侯环境监测站、福州市闽清环境监测站等。</w:t>
      </w:r>
    </w:p>
    <w:p>
      <w:pPr>
        <w:spacing w:line="360" w:lineRule="auto"/>
        <w:ind w:firstLine="420"/>
        <w:rPr>
          <w:rFonts w:hAnsi="宋体"/>
          <w:sz w:val="28"/>
          <w:szCs w:val="28"/>
        </w:rPr>
      </w:pPr>
      <w:r>
        <w:rPr>
          <w:rFonts w:hint="eastAsia" w:hAnsi="宋体"/>
          <w:sz w:val="28"/>
          <w:szCs w:val="28"/>
        </w:rPr>
        <w:t>本标准的主要工作过程如下：</w:t>
      </w:r>
    </w:p>
    <w:p>
      <w:pPr>
        <w:spacing w:line="360" w:lineRule="auto"/>
        <w:ind w:firstLine="420"/>
        <w:rPr>
          <w:rFonts w:ascii="宋体" w:hAnsi="宋体" w:cs="宋体"/>
          <w:sz w:val="28"/>
          <w:szCs w:val="28"/>
        </w:rPr>
      </w:pPr>
      <w:r>
        <w:rPr>
          <w:rFonts w:hint="eastAsia" w:ascii="宋体" w:hAnsi="宋体" w:cs="宋体"/>
          <w:sz w:val="28"/>
          <w:szCs w:val="28"/>
        </w:rPr>
        <w:t>2021年2月—2021年3月：成立标准起草小组，明确各自分工，编制标准草案，编写编制说明，形成征求意见稿；</w:t>
      </w:r>
    </w:p>
    <w:p>
      <w:pPr>
        <w:pStyle w:val="16"/>
        <w:spacing w:line="360" w:lineRule="auto"/>
        <w:ind w:firstLine="560"/>
        <w:rPr>
          <w:rFonts w:hAnsi="宋体" w:cs="宋体"/>
          <w:sz w:val="28"/>
          <w:szCs w:val="28"/>
        </w:rPr>
      </w:pPr>
      <w:r>
        <w:rPr>
          <w:rFonts w:hint="eastAsia" w:hAnsi="宋体" w:cs="宋体"/>
          <w:sz w:val="28"/>
          <w:szCs w:val="28"/>
        </w:rPr>
        <w:t>2021年5月—2021年8月：向福州市鼓楼区、台江区、仓山区、晋安区、马尾区、长乐区，福清市，闽侯县，闽清县，永泰县，连江县，罗源县，高新区，福州市城乡建设局、福州市水利局、福州市农业农村局、福州市海洋与渔业局、福州市工业和信息化局、福州市商务局、福州市交通运输局、福州市自然资源和规划局、福州港口发展中心、福建省生态环境厅等单位广泛征求意见，结合收集到的意见反馈，完善标准草案，形成标准送审稿；</w:t>
      </w:r>
    </w:p>
    <w:p>
      <w:pPr>
        <w:pStyle w:val="16"/>
        <w:spacing w:line="360" w:lineRule="auto"/>
        <w:ind w:firstLine="560"/>
        <w:rPr>
          <w:rFonts w:hAnsi="宋体" w:cs="宋体"/>
          <w:sz w:val="28"/>
          <w:szCs w:val="28"/>
        </w:rPr>
      </w:pPr>
      <w:r>
        <w:rPr>
          <w:rFonts w:hint="eastAsia" w:hAnsi="宋体" w:cs="宋体"/>
          <w:sz w:val="28"/>
          <w:szCs w:val="28"/>
        </w:rPr>
        <w:t>2021年8月31日召开标准咨询会，与会专家代表根据本标准的工作任务建议标准名称改为《福州市入河（湖、库）排放口分类和管理技术导则》。</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二、编制原则和主要内容</w:t>
      </w:r>
    </w:p>
    <w:p>
      <w:pPr>
        <w:pStyle w:val="16"/>
        <w:spacing w:line="360" w:lineRule="auto"/>
        <w:ind w:firstLine="560"/>
        <w:rPr>
          <w:rFonts w:hAnsi="宋体"/>
          <w:sz w:val="28"/>
          <w:szCs w:val="28"/>
        </w:rPr>
      </w:pPr>
      <w:r>
        <w:rPr>
          <w:rFonts w:hint="eastAsia" w:hAnsi="宋体"/>
          <w:sz w:val="28"/>
          <w:szCs w:val="28"/>
        </w:rPr>
        <w:t>本标准严格按照GB/T 1.1-2020的规定进行编制，本标准共计五章，主要内容如下：</w:t>
      </w:r>
    </w:p>
    <w:p>
      <w:pPr>
        <w:pStyle w:val="16"/>
        <w:spacing w:line="360" w:lineRule="auto"/>
        <w:ind w:firstLine="560"/>
        <w:rPr>
          <w:rFonts w:hAnsi="宋体"/>
          <w:sz w:val="28"/>
          <w:szCs w:val="28"/>
        </w:rPr>
      </w:pPr>
      <w:r>
        <w:rPr>
          <w:rFonts w:hint="eastAsia" w:hAnsi="宋体"/>
          <w:sz w:val="28"/>
          <w:szCs w:val="28"/>
        </w:rPr>
        <w:t>1、范围</w:t>
      </w:r>
    </w:p>
    <w:p>
      <w:pPr>
        <w:pStyle w:val="16"/>
        <w:spacing w:line="360" w:lineRule="auto"/>
        <w:ind w:firstLine="560"/>
        <w:rPr>
          <w:rFonts w:hAnsi="宋体"/>
          <w:sz w:val="28"/>
          <w:szCs w:val="28"/>
        </w:rPr>
      </w:pPr>
      <w:r>
        <w:rPr>
          <w:rFonts w:hint="eastAsia" w:hAnsi="宋体"/>
          <w:sz w:val="28"/>
          <w:szCs w:val="28"/>
        </w:rPr>
        <w:t>本章给出了本标准的适用范围。</w:t>
      </w:r>
    </w:p>
    <w:p>
      <w:pPr>
        <w:pStyle w:val="16"/>
        <w:spacing w:line="360" w:lineRule="auto"/>
        <w:ind w:firstLine="560"/>
        <w:rPr>
          <w:rFonts w:hAnsi="宋体"/>
          <w:sz w:val="28"/>
          <w:szCs w:val="28"/>
        </w:rPr>
      </w:pPr>
      <w:r>
        <w:rPr>
          <w:rFonts w:hint="eastAsia" w:hAnsi="宋体"/>
          <w:sz w:val="28"/>
          <w:szCs w:val="28"/>
        </w:rPr>
        <w:t>本标准规定了福州市</w:t>
      </w:r>
      <w:r>
        <w:rPr>
          <w:rFonts w:hAnsi="宋体"/>
          <w:sz w:val="28"/>
          <w:szCs w:val="28"/>
        </w:rPr>
        <w:t>入</w:t>
      </w:r>
      <w:r>
        <w:rPr>
          <w:rFonts w:hint="eastAsia" w:hAnsi="宋体"/>
          <w:sz w:val="28"/>
          <w:szCs w:val="28"/>
        </w:rPr>
        <w:t>河（湖、库）</w:t>
      </w:r>
      <w:r>
        <w:rPr>
          <w:rFonts w:hAnsi="宋体"/>
          <w:sz w:val="28"/>
          <w:szCs w:val="28"/>
        </w:rPr>
        <w:t>排</w:t>
      </w:r>
      <w:r>
        <w:rPr>
          <w:rFonts w:hint="eastAsia" w:hAnsi="宋体"/>
          <w:sz w:val="28"/>
          <w:szCs w:val="28"/>
        </w:rPr>
        <w:t>放</w:t>
      </w:r>
      <w:r>
        <w:rPr>
          <w:rFonts w:hAnsi="宋体"/>
          <w:sz w:val="28"/>
          <w:szCs w:val="28"/>
        </w:rPr>
        <w:t>口</w:t>
      </w:r>
      <w:r>
        <w:rPr>
          <w:rFonts w:hint="eastAsia" w:hAnsi="宋体"/>
          <w:sz w:val="28"/>
          <w:szCs w:val="28"/>
        </w:rPr>
        <w:t>分类</w:t>
      </w:r>
      <w:r>
        <w:rPr>
          <w:rFonts w:hAnsi="宋体"/>
          <w:sz w:val="28"/>
          <w:szCs w:val="28"/>
        </w:rPr>
        <w:t>、</w:t>
      </w:r>
      <w:r>
        <w:rPr>
          <w:rFonts w:hint="eastAsia" w:hAnsi="宋体"/>
          <w:sz w:val="28"/>
          <w:szCs w:val="28"/>
        </w:rPr>
        <w:t>治理</w:t>
      </w:r>
      <w:r>
        <w:rPr>
          <w:rFonts w:hAnsi="宋体"/>
          <w:sz w:val="28"/>
          <w:szCs w:val="28"/>
        </w:rPr>
        <w:t>工作规范体系要求</w:t>
      </w:r>
      <w:r>
        <w:rPr>
          <w:rFonts w:hint="eastAsia" w:hAnsi="宋体"/>
          <w:sz w:val="28"/>
          <w:szCs w:val="28"/>
        </w:rPr>
        <w:t>。</w:t>
      </w:r>
    </w:p>
    <w:p>
      <w:pPr>
        <w:pStyle w:val="16"/>
        <w:spacing w:line="360" w:lineRule="auto"/>
        <w:ind w:firstLine="560"/>
        <w:rPr>
          <w:rFonts w:hAnsi="宋体"/>
          <w:sz w:val="28"/>
          <w:szCs w:val="28"/>
        </w:rPr>
      </w:pPr>
      <w:r>
        <w:rPr>
          <w:rFonts w:hint="eastAsia" w:hAnsi="宋体"/>
          <w:sz w:val="28"/>
          <w:szCs w:val="28"/>
        </w:rPr>
        <w:t>本标准适用于福州市</w:t>
      </w:r>
      <w:r>
        <w:rPr>
          <w:rFonts w:hAnsi="宋体"/>
          <w:sz w:val="28"/>
          <w:szCs w:val="28"/>
        </w:rPr>
        <w:t>入</w:t>
      </w:r>
      <w:r>
        <w:rPr>
          <w:rFonts w:hint="eastAsia" w:hAnsi="宋体"/>
          <w:sz w:val="28"/>
          <w:szCs w:val="28"/>
        </w:rPr>
        <w:t>河（湖、库）</w:t>
      </w:r>
      <w:r>
        <w:rPr>
          <w:rFonts w:hAnsi="宋体"/>
          <w:sz w:val="28"/>
          <w:szCs w:val="28"/>
        </w:rPr>
        <w:t>排</w:t>
      </w:r>
      <w:r>
        <w:rPr>
          <w:rFonts w:hint="eastAsia" w:hAnsi="宋体"/>
          <w:sz w:val="28"/>
          <w:szCs w:val="28"/>
        </w:rPr>
        <w:t>放</w:t>
      </w:r>
      <w:r>
        <w:rPr>
          <w:rFonts w:hAnsi="宋体"/>
          <w:sz w:val="28"/>
          <w:szCs w:val="28"/>
        </w:rPr>
        <w:t>口</w:t>
      </w:r>
      <w:r>
        <w:rPr>
          <w:rFonts w:hint="eastAsia" w:hAnsi="宋体"/>
          <w:sz w:val="28"/>
          <w:szCs w:val="28"/>
        </w:rPr>
        <w:t>分类</w:t>
      </w:r>
      <w:r>
        <w:rPr>
          <w:rFonts w:hAnsi="宋体"/>
          <w:sz w:val="28"/>
          <w:szCs w:val="28"/>
        </w:rPr>
        <w:t>、</w:t>
      </w:r>
      <w:r>
        <w:rPr>
          <w:rFonts w:hint="eastAsia" w:hAnsi="宋体"/>
          <w:sz w:val="28"/>
          <w:szCs w:val="28"/>
        </w:rPr>
        <w:t>治理。</w:t>
      </w:r>
    </w:p>
    <w:p>
      <w:pPr>
        <w:pStyle w:val="16"/>
        <w:spacing w:line="360" w:lineRule="auto"/>
        <w:ind w:firstLine="560"/>
        <w:rPr>
          <w:rFonts w:hAnsi="宋体"/>
          <w:sz w:val="28"/>
          <w:szCs w:val="28"/>
        </w:rPr>
      </w:pPr>
      <w:r>
        <w:rPr>
          <w:rFonts w:hint="eastAsia" w:hAnsi="宋体"/>
          <w:sz w:val="28"/>
          <w:szCs w:val="28"/>
        </w:rPr>
        <w:t>2、规范性引用文件</w:t>
      </w:r>
    </w:p>
    <w:p>
      <w:pPr>
        <w:pStyle w:val="16"/>
        <w:spacing w:line="360" w:lineRule="auto"/>
        <w:ind w:firstLine="560"/>
        <w:rPr>
          <w:rFonts w:hAnsi="宋体"/>
          <w:sz w:val="28"/>
          <w:szCs w:val="28"/>
        </w:rPr>
      </w:pPr>
      <w:r>
        <w:rPr>
          <w:rFonts w:hint="eastAsia" w:hAnsi="宋体"/>
          <w:sz w:val="28"/>
          <w:szCs w:val="28"/>
        </w:rPr>
        <w:t>本章给出了本标准所引用的标准，本标准共引用国家标准5项、行业标准2项、地方标准1项。</w:t>
      </w:r>
    </w:p>
    <w:p>
      <w:pPr>
        <w:pStyle w:val="16"/>
        <w:spacing w:line="360" w:lineRule="auto"/>
        <w:ind w:firstLine="560"/>
        <w:rPr>
          <w:rFonts w:hAnsi="宋体"/>
          <w:sz w:val="28"/>
          <w:szCs w:val="28"/>
        </w:rPr>
      </w:pPr>
      <w:r>
        <w:rPr>
          <w:rFonts w:hint="eastAsia" w:hAnsi="宋体"/>
          <w:sz w:val="28"/>
          <w:szCs w:val="28"/>
        </w:rPr>
        <w:t>3、术语和定义</w:t>
      </w:r>
    </w:p>
    <w:p>
      <w:pPr>
        <w:pStyle w:val="16"/>
        <w:spacing w:line="360" w:lineRule="auto"/>
        <w:ind w:firstLine="560"/>
        <w:rPr>
          <w:rFonts w:hAnsi="宋体"/>
          <w:sz w:val="28"/>
          <w:szCs w:val="28"/>
        </w:rPr>
      </w:pPr>
      <w:r>
        <w:rPr>
          <w:rFonts w:hint="eastAsia" w:hAnsi="宋体"/>
          <w:sz w:val="28"/>
          <w:szCs w:val="28"/>
        </w:rPr>
        <w:t>本章给出了本标准所用六个术语的定义：入河（湖、库）排放口、排污口、清净下水口、雨水口、直接入河（湖、库）</w:t>
      </w:r>
      <w:r>
        <w:rPr>
          <w:rFonts w:hAnsi="宋体"/>
          <w:sz w:val="28"/>
          <w:szCs w:val="28"/>
        </w:rPr>
        <w:t>排放方式</w:t>
      </w:r>
      <w:r>
        <w:rPr>
          <w:rFonts w:hint="eastAsia" w:hAnsi="宋体"/>
          <w:sz w:val="28"/>
          <w:szCs w:val="28"/>
        </w:rPr>
        <w:t>、间接入河（湖、库）</w:t>
      </w:r>
      <w:r>
        <w:rPr>
          <w:rFonts w:hAnsi="宋体"/>
          <w:sz w:val="28"/>
          <w:szCs w:val="28"/>
        </w:rPr>
        <w:t>排放方式</w:t>
      </w:r>
      <w:r>
        <w:rPr>
          <w:rFonts w:hint="eastAsia" w:hAnsi="宋体"/>
          <w:sz w:val="28"/>
          <w:szCs w:val="28"/>
        </w:rPr>
        <w:t>。</w:t>
      </w:r>
    </w:p>
    <w:p>
      <w:pPr>
        <w:pStyle w:val="16"/>
        <w:spacing w:line="360" w:lineRule="auto"/>
        <w:ind w:firstLine="560"/>
        <w:rPr>
          <w:rFonts w:hAnsi="宋体"/>
          <w:sz w:val="28"/>
          <w:szCs w:val="28"/>
        </w:rPr>
      </w:pPr>
      <w:r>
        <w:rPr>
          <w:rFonts w:hint="eastAsia" w:hAnsi="宋体"/>
          <w:sz w:val="28"/>
          <w:szCs w:val="28"/>
        </w:rPr>
        <w:t>4、</w:t>
      </w:r>
      <w:bookmarkStart w:id="0" w:name="_Toc82440110"/>
      <w:r>
        <w:rPr>
          <w:rFonts w:hint="eastAsia" w:hAnsi="宋体"/>
          <w:sz w:val="28"/>
          <w:szCs w:val="28"/>
        </w:rPr>
        <w:t>入河（湖、库）排放口类型</w:t>
      </w:r>
      <w:bookmarkEnd w:id="0"/>
    </w:p>
    <w:p>
      <w:pPr>
        <w:pStyle w:val="16"/>
        <w:spacing w:line="360" w:lineRule="auto"/>
        <w:ind w:firstLine="560"/>
        <w:rPr>
          <w:rFonts w:hAnsi="宋体"/>
          <w:sz w:val="28"/>
          <w:szCs w:val="28"/>
        </w:rPr>
      </w:pPr>
      <w:r>
        <w:rPr>
          <w:rFonts w:hint="eastAsia" w:hAnsi="宋体"/>
          <w:sz w:val="28"/>
          <w:szCs w:val="28"/>
        </w:rPr>
        <w:t>本章依据排放性质规定了入河（湖、库）排放口分为排污口、清净下水排口、雨水排口三大类，按照来源划分为工业企业、农业农村、污水集中处理设施、港口码头、矿井和尾矿库、雨洪排口、沟渠和河港、其他等8小类。</w:t>
      </w:r>
    </w:p>
    <w:p>
      <w:pPr>
        <w:pStyle w:val="16"/>
        <w:spacing w:line="360" w:lineRule="auto"/>
        <w:ind w:firstLine="560"/>
        <w:rPr>
          <w:rFonts w:hAnsi="宋体"/>
          <w:sz w:val="28"/>
          <w:szCs w:val="28"/>
        </w:rPr>
      </w:pPr>
      <w:r>
        <w:rPr>
          <w:rFonts w:hint="eastAsia" w:hAnsi="宋体"/>
          <w:sz w:val="28"/>
          <w:szCs w:val="28"/>
        </w:rPr>
        <w:t>5、</w:t>
      </w:r>
      <w:bookmarkStart w:id="1" w:name="_Toc78966513"/>
      <w:bookmarkStart w:id="2" w:name="_Toc82440111"/>
      <w:r>
        <w:rPr>
          <w:rFonts w:hint="eastAsia" w:hAnsi="宋体"/>
          <w:sz w:val="28"/>
          <w:szCs w:val="28"/>
        </w:rPr>
        <w:t>分类治理要求</w:t>
      </w:r>
      <w:bookmarkEnd w:id="1"/>
      <w:bookmarkEnd w:id="2"/>
    </w:p>
    <w:p>
      <w:pPr>
        <w:pStyle w:val="16"/>
        <w:spacing w:line="360" w:lineRule="auto"/>
        <w:ind w:firstLine="560"/>
        <w:rPr>
          <w:rFonts w:hAnsi="宋体"/>
          <w:sz w:val="28"/>
          <w:szCs w:val="28"/>
        </w:rPr>
      </w:pPr>
      <w:r>
        <w:rPr>
          <w:rFonts w:hint="eastAsia" w:hAnsi="宋体"/>
          <w:sz w:val="28"/>
          <w:szCs w:val="28"/>
        </w:rPr>
        <w:t>本章规定了</w:t>
      </w:r>
      <w:bookmarkStart w:id="3" w:name="_Toc78966514"/>
      <w:r>
        <w:rPr>
          <w:rFonts w:hint="eastAsia" w:hAnsi="宋体"/>
          <w:sz w:val="28"/>
          <w:szCs w:val="28"/>
        </w:rPr>
        <w:t>排污口</w:t>
      </w:r>
      <w:bookmarkEnd w:id="3"/>
      <w:r>
        <w:rPr>
          <w:rFonts w:hint="eastAsia" w:hAnsi="宋体"/>
          <w:sz w:val="28"/>
          <w:szCs w:val="28"/>
        </w:rPr>
        <w:t>、</w:t>
      </w:r>
      <w:bookmarkStart w:id="4" w:name="_Toc78966523"/>
      <w:r>
        <w:rPr>
          <w:rFonts w:hint="eastAsia" w:hAnsi="宋体"/>
          <w:sz w:val="28"/>
          <w:szCs w:val="28"/>
        </w:rPr>
        <w:t>清净下水排口</w:t>
      </w:r>
      <w:bookmarkEnd w:id="4"/>
      <w:r>
        <w:rPr>
          <w:rFonts w:hint="eastAsia" w:hAnsi="宋体"/>
          <w:sz w:val="28"/>
          <w:szCs w:val="28"/>
        </w:rPr>
        <w:t>、</w:t>
      </w:r>
      <w:bookmarkStart w:id="5" w:name="_Toc78966524"/>
      <w:r>
        <w:rPr>
          <w:rFonts w:hint="eastAsia" w:hAnsi="宋体"/>
          <w:sz w:val="28"/>
          <w:szCs w:val="28"/>
        </w:rPr>
        <w:t>雨水排口（包括其他排涝泄洪口）</w:t>
      </w:r>
      <w:bookmarkEnd w:id="5"/>
      <w:r>
        <w:rPr>
          <w:rFonts w:hint="eastAsia" w:hAnsi="宋体"/>
          <w:sz w:val="28"/>
          <w:szCs w:val="28"/>
        </w:rPr>
        <w:t>分类整治要求。</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三、目的意义</w:t>
      </w:r>
    </w:p>
    <w:p>
      <w:pPr>
        <w:pStyle w:val="16"/>
        <w:spacing w:line="360" w:lineRule="auto"/>
        <w:ind w:firstLine="560"/>
        <w:rPr>
          <w:rFonts w:hAnsi="宋体"/>
          <w:sz w:val="28"/>
          <w:szCs w:val="28"/>
        </w:rPr>
      </w:pPr>
      <w:r>
        <w:rPr>
          <w:rFonts w:hint="eastAsia" w:hAnsi="宋体"/>
          <w:sz w:val="28"/>
          <w:szCs w:val="28"/>
        </w:rPr>
        <w:t>《</w:t>
      </w:r>
      <w:r>
        <w:rPr>
          <w:rFonts w:hAnsi="宋体"/>
          <w:sz w:val="28"/>
          <w:szCs w:val="28"/>
        </w:rPr>
        <w:t>福州市入</w:t>
      </w:r>
      <w:r>
        <w:rPr>
          <w:rFonts w:hint="eastAsia" w:hAnsi="宋体"/>
          <w:sz w:val="28"/>
          <w:szCs w:val="28"/>
        </w:rPr>
        <w:t>河</w:t>
      </w:r>
      <w:r>
        <w:rPr>
          <w:rFonts w:hAnsi="宋体"/>
          <w:sz w:val="28"/>
          <w:szCs w:val="28"/>
        </w:rPr>
        <w:t>排</w:t>
      </w:r>
      <w:r>
        <w:rPr>
          <w:rFonts w:hint="eastAsia" w:hAnsi="宋体"/>
          <w:sz w:val="28"/>
          <w:szCs w:val="28"/>
        </w:rPr>
        <w:t>放</w:t>
      </w:r>
      <w:r>
        <w:rPr>
          <w:rFonts w:hAnsi="宋体"/>
          <w:sz w:val="28"/>
          <w:szCs w:val="28"/>
        </w:rPr>
        <w:t>口</w:t>
      </w:r>
      <w:r>
        <w:rPr>
          <w:rFonts w:hint="eastAsia" w:hAnsi="宋体"/>
          <w:sz w:val="28"/>
          <w:szCs w:val="28"/>
        </w:rPr>
        <w:t>排查</w:t>
      </w:r>
      <w:r>
        <w:rPr>
          <w:rFonts w:hAnsi="宋体"/>
          <w:sz w:val="28"/>
          <w:szCs w:val="28"/>
        </w:rPr>
        <w:t>和</w:t>
      </w:r>
      <w:r>
        <w:rPr>
          <w:rFonts w:hint="eastAsia" w:hAnsi="宋体"/>
          <w:sz w:val="28"/>
          <w:szCs w:val="28"/>
        </w:rPr>
        <w:t>治理技术导则》系</w:t>
      </w:r>
      <w:r>
        <w:rPr>
          <w:rFonts w:hAnsi="宋体"/>
          <w:sz w:val="28"/>
          <w:szCs w:val="28"/>
        </w:rPr>
        <w:t>根据福州市委主要领导关于水系治理的批示指示精神，指导各县（市）区开展入河排放口排查治理工作</w:t>
      </w:r>
      <w:r>
        <w:rPr>
          <w:rFonts w:hint="eastAsia" w:hAnsi="宋体"/>
          <w:sz w:val="28"/>
          <w:szCs w:val="28"/>
        </w:rPr>
        <w:t>。</w:t>
      </w:r>
      <w:r>
        <w:rPr>
          <w:rFonts w:hAnsi="宋体"/>
          <w:sz w:val="28"/>
          <w:szCs w:val="28"/>
        </w:rPr>
        <w:t>该导则由福州市生态环境局组织福州市环境科学研究院等技术支撑单位，在吸收借鉴长江入河排污口试点排查整治工作经验</w:t>
      </w:r>
      <w:r>
        <w:rPr>
          <w:rFonts w:hint="eastAsia" w:hAnsi="宋体"/>
          <w:sz w:val="28"/>
          <w:szCs w:val="28"/>
        </w:rPr>
        <w:t>及福州</w:t>
      </w:r>
      <w:r>
        <w:rPr>
          <w:rFonts w:hAnsi="宋体"/>
          <w:sz w:val="28"/>
          <w:szCs w:val="28"/>
        </w:rPr>
        <w:t>市闽江干流、龙江流域入河排放口排查整治工作试点成效基础上，编制了《福州市入</w:t>
      </w:r>
      <w:r>
        <w:rPr>
          <w:rFonts w:hint="eastAsia" w:hAnsi="宋体"/>
          <w:sz w:val="28"/>
          <w:szCs w:val="28"/>
        </w:rPr>
        <w:t>河</w:t>
      </w:r>
      <w:r>
        <w:rPr>
          <w:rFonts w:hAnsi="宋体"/>
          <w:sz w:val="28"/>
          <w:szCs w:val="28"/>
        </w:rPr>
        <w:t>排</w:t>
      </w:r>
      <w:r>
        <w:rPr>
          <w:rFonts w:hint="eastAsia" w:hAnsi="宋体"/>
          <w:sz w:val="28"/>
          <w:szCs w:val="28"/>
        </w:rPr>
        <w:t>放</w:t>
      </w:r>
      <w:r>
        <w:rPr>
          <w:rFonts w:hAnsi="宋体"/>
          <w:sz w:val="28"/>
          <w:szCs w:val="28"/>
        </w:rPr>
        <w:t>口</w:t>
      </w:r>
      <w:r>
        <w:rPr>
          <w:rFonts w:hint="eastAsia" w:hAnsi="宋体"/>
          <w:sz w:val="28"/>
          <w:szCs w:val="28"/>
        </w:rPr>
        <w:t>排查</w:t>
      </w:r>
      <w:r>
        <w:rPr>
          <w:rFonts w:hAnsi="宋体"/>
          <w:sz w:val="28"/>
          <w:szCs w:val="28"/>
        </w:rPr>
        <w:t>和</w:t>
      </w:r>
      <w:r>
        <w:rPr>
          <w:rFonts w:hint="eastAsia" w:hAnsi="宋体"/>
          <w:sz w:val="28"/>
          <w:szCs w:val="28"/>
        </w:rPr>
        <w:t>治理技术导则（征求意见稿）</w:t>
      </w:r>
      <w:r>
        <w:rPr>
          <w:rFonts w:hAnsi="宋体"/>
          <w:sz w:val="28"/>
          <w:szCs w:val="28"/>
        </w:rPr>
        <w:t>》，经征求吸纳市水利、建设、农业农村、海洋渔业等相关部门以及各县市区的建议后，形成《福州市入</w:t>
      </w:r>
      <w:r>
        <w:rPr>
          <w:rFonts w:hint="eastAsia" w:hAnsi="宋体"/>
          <w:sz w:val="28"/>
          <w:szCs w:val="28"/>
        </w:rPr>
        <w:t>河</w:t>
      </w:r>
      <w:r>
        <w:rPr>
          <w:rFonts w:hAnsi="宋体"/>
          <w:sz w:val="28"/>
          <w:szCs w:val="28"/>
        </w:rPr>
        <w:t>排</w:t>
      </w:r>
      <w:r>
        <w:rPr>
          <w:rFonts w:hint="eastAsia" w:hAnsi="宋体"/>
          <w:sz w:val="28"/>
          <w:szCs w:val="28"/>
        </w:rPr>
        <w:t>放</w:t>
      </w:r>
      <w:r>
        <w:rPr>
          <w:rFonts w:hAnsi="宋体"/>
          <w:sz w:val="28"/>
          <w:szCs w:val="28"/>
        </w:rPr>
        <w:t>口</w:t>
      </w:r>
      <w:r>
        <w:rPr>
          <w:rFonts w:hint="eastAsia" w:hAnsi="宋体"/>
          <w:sz w:val="28"/>
          <w:szCs w:val="28"/>
        </w:rPr>
        <w:t>排查</w:t>
      </w:r>
      <w:r>
        <w:rPr>
          <w:rFonts w:hAnsi="宋体"/>
          <w:sz w:val="28"/>
          <w:szCs w:val="28"/>
        </w:rPr>
        <w:t>和</w:t>
      </w:r>
      <w:r>
        <w:rPr>
          <w:rFonts w:hint="eastAsia" w:hAnsi="宋体"/>
          <w:sz w:val="28"/>
          <w:szCs w:val="28"/>
        </w:rPr>
        <w:t>治理技术导则</w:t>
      </w:r>
      <w:r>
        <w:rPr>
          <w:rFonts w:hAnsi="宋体"/>
          <w:sz w:val="28"/>
          <w:szCs w:val="28"/>
        </w:rPr>
        <w:t>》，并于</w:t>
      </w:r>
      <w:r>
        <w:rPr>
          <w:rFonts w:hint="eastAsia" w:hAnsi="宋体"/>
          <w:sz w:val="28"/>
          <w:szCs w:val="28"/>
        </w:rPr>
        <w:t>2021年3月福州市生态环境局发文开始在全市范围试行。</w:t>
      </w:r>
    </w:p>
    <w:p>
      <w:pPr>
        <w:pStyle w:val="16"/>
        <w:spacing w:line="360" w:lineRule="auto"/>
        <w:ind w:firstLine="560"/>
        <w:rPr>
          <w:rFonts w:hAnsi="宋体"/>
          <w:sz w:val="28"/>
          <w:szCs w:val="28"/>
        </w:rPr>
      </w:pPr>
      <w:r>
        <w:rPr>
          <w:rFonts w:hAnsi="宋体"/>
          <w:sz w:val="28"/>
          <w:szCs w:val="28"/>
        </w:rPr>
        <w:t>本标准制订的目标是形成一项相对成熟、覆盖全面、指向明确、适用性强、具有总体指导性的入</w:t>
      </w:r>
      <w:r>
        <w:rPr>
          <w:rFonts w:hint="eastAsia" w:hAnsi="宋体"/>
          <w:sz w:val="28"/>
          <w:szCs w:val="28"/>
        </w:rPr>
        <w:t>河（湖、库）</w:t>
      </w:r>
      <w:r>
        <w:rPr>
          <w:rFonts w:hAnsi="宋体"/>
          <w:sz w:val="28"/>
          <w:szCs w:val="28"/>
        </w:rPr>
        <w:t>排</w:t>
      </w:r>
      <w:r>
        <w:rPr>
          <w:rFonts w:hint="eastAsia" w:hAnsi="宋体"/>
          <w:sz w:val="28"/>
          <w:szCs w:val="28"/>
        </w:rPr>
        <w:t>放</w:t>
      </w:r>
      <w:r>
        <w:rPr>
          <w:rFonts w:hAnsi="宋体"/>
          <w:sz w:val="28"/>
          <w:szCs w:val="28"/>
        </w:rPr>
        <w:t>口</w:t>
      </w:r>
      <w:r>
        <w:rPr>
          <w:rFonts w:hint="eastAsia" w:hAnsi="宋体"/>
          <w:sz w:val="28"/>
          <w:szCs w:val="28"/>
        </w:rPr>
        <w:t>分类和治理</w:t>
      </w:r>
      <w:r>
        <w:rPr>
          <w:rFonts w:hAnsi="宋体"/>
          <w:sz w:val="28"/>
          <w:szCs w:val="28"/>
        </w:rPr>
        <w:t>技术规范。</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四、采用国际标准和国外先进标准的程度，以及与国际、国外同类标准水平的对比情况，或与测试的国外样品、样机的有关数据对比情况</w:t>
      </w:r>
    </w:p>
    <w:p>
      <w:pPr>
        <w:pStyle w:val="16"/>
        <w:spacing w:line="360" w:lineRule="auto"/>
        <w:ind w:firstLine="560"/>
        <w:rPr>
          <w:rFonts w:hAnsi="宋体"/>
          <w:sz w:val="28"/>
          <w:szCs w:val="28"/>
        </w:rPr>
      </w:pPr>
      <w:r>
        <w:rPr>
          <w:rFonts w:hint="eastAsia" w:hAnsi="宋体"/>
          <w:sz w:val="28"/>
          <w:szCs w:val="28"/>
        </w:rPr>
        <w:t>无。</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五、与有关的现行法律、法规和强制性国家标准的建议</w:t>
      </w:r>
    </w:p>
    <w:p>
      <w:pPr>
        <w:pStyle w:val="16"/>
        <w:spacing w:line="360" w:lineRule="auto"/>
        <w:ind w:firstLine="560"/>
        <w:rPr>
          <w:rFonts w:hAnsi="宋体"/>
          <w:sz w:val="28"/>
          <w:szCs w:val="28"/>
        </w:rPr>
      </w:pPr>
      <w:r>
        <w:rPr>
          <w:rFonts w:hint="eastAsia" w:hAnsi="宋体"/>
          <w:sz w:val="28"/>
          <w:szCs w:val="28"/>
        </w:rPr>
        <w:t>无。</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六、重大分歧意见的处理经过和依据</w:t>
      </w:r>
    </w:p>
    <w:p>
      <w:pPr>
        <w:pStyle w:val="16"/>
        <w:spacing w:line="360" w:lineRule="auto"/>
        <w:ind w:firstLine="560"/>
        <w:rPr>
          <w:rFonts w:hAnsi="宋体"/>
          <w:sz w:val="28"/>
          <w:szCs w:val="28"/>
        </w:rPr>
      </w:pPr>
      <w:r>
        <w:rPr>
          <w:rFonts w:hint="eastAsia" w:hAnsi="宋体"/>
          <w:sz w:val="28"/>
          <w:szCs w:val="28"/>
        </w:rPr>
        <w:t>无。</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七、废止现行有关标准的建议</w:t>
      </w:r>
    </w:p>
    <w:p>
      <w:pPr>
        <w:pStyle w:val="16"/>
        <w:spacing w:line="360" w:lineRule="auto"/>
        <w:ind w:firstLine="560"/>
        <w:rPr>
          <w:rFonts w:hAnsi="宋体"/>
          <w:sz w:val="28"/>
          <w:szCs w:val="28"/>
        </w:rPr>
      </w:pPr>
      <w:r>
        <w:rPr>
          <w:rFonts w:hint="eastAsia" w:hAnsi="宋体"/>
          <w:sz w:val="28"/>
          <w:szCs w:val="28"/>
        </w:rPr>
        <w:t>无。</w:t>
      </w:r>
    </w:p>
    <w:p>
      <w:pPr>
        <w:spacing w:line="360" w:lineRule="auto"/>
        <w:outlineLvl w:val="0"/>
        <w:rPr>
          <w:rFonts w:ascii="黑体" w:hAnsi="宋体" w:eastAsia="黑体"/>
          <w:spacing w:val="6"/>
          <w:sz w:val="28"/>
          <w:szCs w:val="28"/>
        </w:rPr>
      </w:pPr>
      <w:r>
        <w:rPr>
          <w:rFonts w:hint="eastAsia" w:ascii="黑体" w:hAnsi="宋体" w:eastAsia="黑体"/>
          <w:spacing w:val="6"/>
          <w:sz w:val="28"/>
          <w:szCs w:val="28"/>
        </w:rPr>
        <w:t>八、其他应予说明的事项</w:t>
      </w:r>
    </w:p>
    <w:p>
      <w:pPr>
        <w:pStyle w:val="16"/>
        <w:spacing w:line="360" w:lineRule="auto"/>
        <w:ind w:firstLine="560"/>
        <w:rPr>
          <w:rFonts w:hAnsi="宋体"/>
          <w:sz w:val="28"/>
          <w:szCs w:val="28"/>
        </w:rPr>
      </w:pPr>
      <w:r>
        <w:rPr>
          <w:rFonts w:hint="eastAsia" w:hAnsi="宋体"/>
          <w:sz w:val="28"/>
          <w:szCs w:val="28"/>
        </w:rPr>
        <w:t>无。</w:t>
      </w:r>
    </w:p>
    <w:p>
      <w:pPr>
        <w:spacing w:line="360" w:lineRule="auto"/>
        <w:rPr>
          <w:rFonts w:hAnsi="Arial"/>
          <w:sz w:val="28"/>
          <w:szCs w:val="28"/>
        </w:rPr>
      </w:pPr>
    </w:p>
    <w:p>
      <w:pPr>
        <w:spacing w:line="360" w:lineRule="auto"/>
        <w:rPr>
          <w:rFonts w:hAnsi="Arial"/>
          <w:sz w:val="28"/>
          <w:szCs w:val="28"/>
        </w:rPr>
      </w:pPr>
    </w:p>
    <w:p>
      <w:pPr>
        <w:spacing w:line="360" w:lineRule="auto"/>
        <w:jc w:val="right"/>
        <w:rPr>
          <w:sz w:val="28"/>
          <w:szCs w:val="28"/>
        </w:rPr>
      </w:pPr>
      <w:r>
        <w:rPr>
          <w:rFonts w:hint="eastAsia" w:ascii="宋体" w:hAnsi="宋体" w:cs="宋体"/>
          <w:sz w:val="28"/>
          <w:szCs w:val="28"/>
        </w:rPr>
        <w:t xml:space="preserve"> 《</w:t>
      </w:r>
      <w:r>
        <w:rPr>
          <w:rFonts w:hAnsi="宋体"/>
          <w:sz w:val="28"/>
          <w:szCs w:val="28"/>
        </w:rPr>
        <w:t>福州市入</w:t>
      </w:r>
      <w:r>
        <w:rPr>
          <w:rFonts w:hint="eastAsia" w:hAnsi="宋体"/>
          <w:sz w:val="28"/>
          <w:szCs w:val="28"/>
        </w:rPr>
        <w:t>河</w:t>
      </w:r>
      <w:r>
        <w:rPr>
          <w:rFonts w:hAnsi="宋体"/>
          <w:sz w:val="28"/>
          <w:szCs w:val="28"/>
        </w:rPr>
        <w:t>排</w:t>
      </w:r>
      <w:r>
        <w:rPr>
          <w:rFonts w:hint="eastAsia" w:hAnsi="宋体"/>
          <w:sz w:val="28"/>
          <w:szCs w:val="28"/>
        </w:rPr>
        <w:t>放</w:t>
      </w:r>
      <w:r>
        <w:rPr>
          <w:rFonts w:hAnsi="宋体"/>
          <w:sz w:val="28"/>
          <w:szCs w:val="28"/>
        </w:rPr>
        <w:t>口</w:t>
      </w:r>
      <w:r>
        <w:rPr>
          <w:rFonts w:hint="eastAsia" w:ascii="宋体" w:hAnsi="宋体"/>
          <w:sz w:val="28"/>
          <w:szCs w:val="28"/>
        </w:rPr>
        <w:t>排查</w:t>
      </w:r>
      <w:r>
        <w:rPr>
          <w:rFonts w:ascii="宋体" w:hAnsi="宋体"/>
          <w:sz w:val="28"/>
          <w:szCs w:val="28"/>
        </w:rPr>
        <w:t>和</w:t>
      </w:r>
      <w:r>
        <w:rPr>
          <w:rFonts w:hint="eastAsia" w:ascii="宋体" w:hAnsi="宋体"/>
          <w:sz w:val="28"/>
          <w:szCs w:val="28"/>
        </w:rPr>
        <w:t>治理</w:t>
      </w:r>
      <w:r>
        <w:rPr>
          <w:rFonts w:hint="eastAsia" w:hAnsi="宋体"/>
          <w:sz w:val="28"/>
          <w:szCs w:val="28"/>
        </w:rPr>
        <w:t>技术导则</w:t>
      </w:r>
      <w:r>
        <w:rPr>
          <w:rFonts w:hint="eastAsia" w:ascii="宋体" w:hAnsi="宋体" w:cs="宋体"/>
          <w:sz w:val="28"/>
          <w:szCs w:val="28"/>
        </w:rPr>
        <w:t>》</w:t>
      </w:r>
      <w:r>
        <w:rPr>
          <w:rFonts w:hint="eastAsia"/>
          <w:sz w:val="28"/>
          <w:szCs w:val="28"/>
        </w:rPr>
        <w:t>起草小组</w:t>
      </w:r>
    </w:p>
    <w:p>
      <w:pPr>
        <w:spacing w:line="440" w:lineRule="exact"/>
        <w:ind w:right="480" w:firstLine="560" w:firstLineChars="200"/>
        <w:jc w:val="center"/>
        <w:rPr>
          <w:rFonts w:ascii="宋体" w:hAnsi="宋体" w:cs="宋体"/>
          <w:color w:val="FF0000"/>
          <w:sz w:val="28"/>
          <w:szCs w:val="28"/>
        </w:rPr>
      </w:pPr>
      <w:r>
        <w:rPr>
          <w:rFonts w:hint="eastAsia"/>
          <w:sz w:val="28"/>
          <w:szCs w:val="28"/>
        </w:rPr>
        <w:t xml:space="preserve">      </w:t>
      </w:r>
      <w:r>
        <w:rPr>
          <w:rFonts w:hint="eastAsia" w:ascii="宋体" w:hAnsi="宋体" w:cs="宋体"/>
          <w:sz w:val="28"/>
          <w:szCs w:val="28"/>
        </w:rPr>
        <w:t xml:space="preserve">    </w:t>
      </w:r>
      <w:r>
        <w:rPr>
          <w:rFonts w:hint="eastAsia" w:ascii="宋体" w:hAnsi="宋体" w:cs="宋体"/>
          <w:color w:val="FF0000"/>
          <w:sz w:val="28"/>
          <w:szCs w:val="28"/>
        </w:rPr>
        <w:t xml:space="preserve">   </w:t>
      </w:r>
    </w:p>
    <w:p>
      <w:pPr>
        <w:spacing w:line="440" w:lineRule="exact"/>
        <w:ind w:right="480" w:firstLine="560" w:firstLineChars="200"/>
        <w:jc w:val="right"/>
        <w:rPr>
          <w:rFonts w:ascii="宋体" w:hAnsi="宋体" w:cs="宋体"/>
          <w:color w:val="000000" w:themeColor="text1"/>
          <w:sz w:val="28"/>
          <w:szCs w:val="28"/>
        </w:rPr>
      </w:pPr>
      <w:r>
        <w:rPr>
          <w:rFonts w:hint="eastAsia" w:ascii="宋体" w:hAnsi="宋体" w:cs="宋体"/>
          <w:color w:val="000000" w:themeColor="text1"/>
          <w:sz w:val="28"/>
          <w:szCs w:val="28"/>
        </w:rPr>
        <w:t>2021年8月</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20"/>
      <w:suff w:val="nothing"/>
      <w:lvlText w:val="%1——"/>
      <w:lvlJc w:val="left"/>
      <w:pPr>
        <w:ind w:left="833" w:hanging="408"/>
      </w:pPr>
      <w:rPr>
        <w:rFonts w:hint="eastAsia"/>
      </w:rPr>
    </w:lvl>
    <w:lvl w:ilvl="1" w:tentative="0">
      <w:start w:val="1"/>
      <w:numFmt w:val="bullet"/>
      <w:pStyle w:val="21"/>
      <w:lvlText w:val=""/>
      <w:lvlJc w:val="left"/>
      <w:pPr>
        <w:tabs>
          <w:tab w:val="left" w:pos="760"/>
        </w:tabs>
        <w:ind w:left="1264" w:hanging="413"/>
      </w:pPr>
      <w:rPr>
        <w:rFonts w:hint="default" w:ascii="Symbol" w:hAnsi="Symbol"/>
        <w:color w:val="auto"/>
      </w:rPr>
    </w:lvl>
    <w:lvl w:ilvl="2" w:tentative="0">
      <w:start w:val="1"/>
      <w:numFmt w:val="bullet"/>
      <w:pStyle w:val="2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6CEA2025"/>
    <w:multiLevelType w:val="multilevel"/>
    <w:tmpl w:val="6CEA2025"/>
    <w:lvl w:ilvl="0" w:tentative="0">
      <w:start w:val="1"/>
      <w:numFmt w:val="none"/>
      <w:pStyle w:val="33"/>
      <w:suff w:val="nothing"/>
      <w:lvlText w:val="%1"/>
      <w:lvlJc w:val="left"/>
      <w:pPr>
        <w:ind w:left="0" w:firstLine="0"/>
      </w:pPr>
      <w:rPr>
        <w:rFonts w:hint="eastAsia"/>
      </w:rPr>
    </w:lvl>
    <w:lvl w:ilvl="1" w:tentative="0">
      <w:start w:val="1"/>
      <w:numFmt w:val="decimal"/>
      <w:pStyle w:val="31"/>
      <w:suff w:val="nothing"/>
      <w:lvlText w:val="%1%2　"/>
      <w:lvlJc w:val="left"/>
      <w:pPr>
        <w:ind w:left="0" w:firstLine="0"/>
      </w:pPr>
      <w:rPr>
        <w:rFonts w:hint="eastAsia" w:ascii="黑体" w:eastAsia="黑体"/>
        <w:b w:val="0"/>
        <w:i w:val="0"/>
        <w:sz w:val="21"/>
      </w:rPr>
    </w:lvl>
    <w:lvl w:ilvl="2" w:tentative="0">
      <w:start w:val="1"/>
      <w:numFmt w:val="decimal"/>
      <w:pStyle w:val="3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7"/>
      <w:suff w:val="nothing"/>
      <w:lvlText w:val="%1%2.%3.%4　"/>
      <w:lvlJc w:val="left"/>
      <w:pPr>
        <w:ind w:left="0" w:firstLine="0"/>
      </w:pPr>
      <w:rPr>
        <w:rFonts w:hint="eastAsia" w:ascii="黑体" w:eastAsia="黑体"/>
        <w:b w:val="0"/>
        <w:i w:val="0"/>
        <w:sz w:val="21"/>
      </w:rPr>
    </w:lvl>
    <w:lvl w:ilvl="4" w:tentative="0">
      <w:start w:val="1"/>
      <w:numFmt w:val="decimal"/>
      <w:pStyle w:val="28"/>
      <w:suff w:val="nothing"/>
      <w:lvlText w:val="%1%2.%3.%4.%5　"/>
      <w:lvlJc w:val="left"/>
      <w:pPr>
        <w:ind w:left="0" w:firstLine="0"/>
      </w:pPr>
      <w:rPr>
        <w:rFonts w:hint="eastAsia" w:ascii="黑体" w:eastAsia="黑体"/>
        <w:b w:val="0"/>
        <w:i w:val="0"/>
        <w:sz w:val="21"/>
      </w:rPr>
    </w:lvl>
    <w:lvl w:ilvl="5" w:tentative="0">
      <w:start w:val="1"/>
      <w:numFmt w:val="decimal"/>
      <w:pStyle w:val="29"/>
      <w:suff w:val="nothing"/>
      <w:lvlText w:val="%1%2.%3.%4.%5.%6　"/>
      <w:lvlJc w:val="left"/>
      <w:pPr>
        <w:ind w:left="0" w:firstLine="0"/>
      </w:pPr>
      <w:rPr>
        <w:rFonts w:hint="eastAsia" w:ascii="黑体" w:eastAsia="黑体"/>
        <w:b w:val="0"/>
        <w:i w:val="0"/>
        <w:sz w:val="21"/>
      </w:rPr>
    </w:lvl>
    <w:lvl w:ilvl="6" w:tentative="0">
      <w:start w:val="1"/>
      <w:numFmt w:val="decimal"/>
      <w:pStyle w:val="3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3ED"/>
    <w:rsid w:val="00001088"/>
    <w:rsid w:val="000016B8"/>
    <w:rsid w:val="000025D8"/>
    <w:rsid w:val="000139B3"/>
    <w:rsid w:val="00021BA4"/>
    <w:rsid w:val="000230A2"/>
    <w:rsid w:val="00044C86"/>
    <w:rsid w:val="00045C99"/>
    <w:rsid w:val="00056880"/>
    <w:rsid w:val="000600E3"/>
    <w:rsid w:val="00063432"/>
    <w:rsid w:val="00063CE4"/>
    <w:rsid w:val="00071919"/>
    <w:rsid w:val="0007665B"/>
    <w:rsid w:val="0008585E"/>
    <w:rsid w:val="000918B2"/>
    <w:rsid w:val="000A347A"/>
    <w:rsid w:val="000B3CB9"/>
    <w:rsid w:val="000B483D"/>
    <w:rsid w:val="000B7FDA"/>
    <w:rsid w:val="000C25CD"/>
    <w:rsid w:val="000C5C2E"/>
    <w:rsid w:val="000C73F3"/>
    <w:rsid w:val="000D3468"/>
    <w:rsid w:val="000F4B88"/>
    <w:rsid w:val="00100D82"/>
    <w:rsid w:val="00105F57"/>
    <w:rsid w:val="00111183"/>
    <w:rsid w:val="00124569"/>
    <w:rsid w:val="0012677F"/>
    <w:rsid w:val="001308F1"/>
    <w:rsid w:val="00146221"/>
    <w:rsid w:val="00154A86"/>
    <w:rsid w:val="00155BF4"/>
    <w:rsid w:val="00164017"/>
    <w:rsid w:val="00181125"/>
    <w:rsid w:val="00194E02"/>
    <w:rsid w:val="00195626"/>
    <w:rsid w:val="001B476B"/>
    <w:rsid w:val="001C295E"/>
    <w:rsid w:val="001C658E"/>
    <w:rsid w:val="001D1B71"/>
    <w:rsid w:val="001D5C4D"/>
    <w:rsid w:val="001D7EA7"/>
    <w:rsid w:val="001F6EB9"/>
    <w:rsid w:val="00230B24"/>
    <w:rsid w:val="00231408"/>
    <w:rsid w:val="0023260C"/>
    <w:rsid w:val="00232D27"/>
    <w:rsid w:val="00233543"/>
    <w:rsid w:val="00235DF8"/>
    <w:rsid w:val="00240455"/>
    <w:rsid w:val="002406D5"/>
    <w:rsid w:val="002464B0"/>
    <w:rsid w:val="00252DED"/>
    <w:rsid w:val="002544BE"/>
    <w:rsid w:val="002652A2"/>
    <w:rsid w:val="00272246"/>
    <w:rsid w:val="002737E3"/>
    <w:rsid w:val="00273FE7"/>
    <w:rsid w:val="00281152"/>
    <w:rsid w:val="00284C6D"/>
    <w:rsid w:val="002936FD"/>
    <w:rsid w:val="002B3F7D"/>
    <w:rsid w:val="002C11FD"/>
    <w:rsid w:val="002C20E1"/>
    <w:rsid w:val="002C7550"/>
    <w:rsid w:val="002E6313"/>
    <w:rsid w:val="002F098B"/>
    <w:rsid w:val="002F11A2"/>
    <w:rsid w:val="002F276E"/>
    <w:rsid w:val="002F49FE"/>
    <w:rsid w:val="0030449A"/>
    <w:rsid w:val="0030739F"/>
    <w:rsid w:val="003337FE"/>
    <w:rsid w:val="00333815"/>
    <w:rsid w:val="003373C9"/>
    <w:rsid w:val="003434E8"/>
    <w:rsid w:val="003449CD"/>
    <w:rsid w:val="00347820"/>
    <w:rsid w:val="00351AB0"/>
    <w:rsid w:val="00354727"/>
    <w:rsid w:val="00361655"/>
    <w:rsid w:val="00362D78"/>
    <w:rsid w:val="00370F0C"/>
    <w:rsid w:val="003746D0"/>
    <w:rsid w:val="00381265"/>
    <w:rsid w:val="0038439C"/>
    <w:rsid w:val="003C7EC1"/>
    <w:rsid w:val="003D020B"/>
    <w:rsid w:val="003D0C2A"/>
    <w:rsid w:val="003D0D93"/>
    <w:rsid w:val="003D169A"/>
    <w:rsid w:val="003D295C"/>
    <w:rsid w:val="004016FD"/>
    <w:rsid w:val="004077BD"/>
    <w:rsid w:val="00431796"/>
    <w:rsid w:val="00461018"/>
    <w:rsid w:val="00464B94"/>
    <w:rsid w:val="0047012F"/>
    <w:rsid w:val="00471BAD"/>
    <w:rsid w:val="004861F0"/>
    <w:rsid w:val="00494279"/>
    <w:rsid w:val="00497AC8"/>
    <w:rsid w:val="004A19A3"/>
    <w:rsid w:val="004A33F2"/>
    <w:rsid w:val="004B6DBF"/>
    <w:rsid w:val="004C3C29"/>
    <w:rsid w:val="004D1B26"/>
    <w:rsid w:val="004D6EFC"/>
    <w:rsid w:val="004F6747"/>
    <w:rsid w:val="005143C7"/>
    <w:rsid w:val="0051441A"/>
    <w:rsid w:val="00521D2E"/>
    <w:rsid w:val="0052312E"/>
    <w:rsid w:val="00532939"/>
    <w:rsid w:val="005371A6"/>
    <w:rsid w:val="00542074"/>
    <w:rsid w:val="00545F94"/>
    <w:rsid w:val="00551697"/>
    <w:rsid w:val="0055636A"/>
    <w:rsid w:val="00556F6D"/>
    <w:rsid w:val="00570483"/>
    <w:rsid w:val="00570C11"/>
    <w:rsid w:val="00583DA0"/>
    <w:rsid w:val="005840A6"/>
    <w:rsid w:val="00595ACA"/>
    <w:rsid w:val="005A4FE2"/>
    <w:rsid w:val="005B3C55"/>
    <w:rsid w:val="005C1AE1"/>
    <w:rsid w:val="005C58BB"/>
    <w:rsid w:val="005C6C6F"/>
    <w:rsid w:val="005D5BF3"/>
    <w:rsid w:val="005E1108"/>
    <w:rsid w:val="005E119C"/>
    <w:rsid w:val="0060057F"/>
    <w:rsid w:val="00636085"/>
    <w:rsid w:val="0063635A"/>
    <w:rsid w:val="00636968"/>
    <w:rsid w:val="006442E8"/>
    <w:rsid w:val="00654B19"/>
    <w:rsid w:val="0069234C"/>
    <w:rsid w:val="00692D7A"/>
    <w:rsid w:val="006952BC"/>
    <w:rsid w:val="00695C76"/>
    <w:rsid w:val="006A39C1"/>
    <w:rsid w:val="006A3EF2"/>
    <w:rsid w:val="006A6C69"/>
    <w:rsid w:val="006D35B6"/>
    <w:rsid w:val="006D723B"/>
    <w:rsid w:val="006F4D2C"/>
    <w:rsid w:val="0070069A"/>
    <w:rsid w:val="00710E24"/>
    <w:rsid w:val="007146A1"/>
    <w:rsid w:val="0071538C"/>
    <w:rsid w:val="00731C8E"/>
    <w:rsid w:val="007326A7"/>
    <w:rsid w:val="00733D8C"/>
    <w:rsid w:val="00735322"/>
    <w:rsid w:val="00743BFE"/>
    <w:rsid w:val="00746D14"/>
    <w:rsid w:val="00751575"/>
    <w:rsid w:val="00763A40"/>
    <w:rsid w:val="007640E5"/>
    <w:rsid w:val="00772616"/>
    <w:rsid w:val="00772CAA"/>
    <w:rsid w:val="007838E8"/>
    <w:rsid w:val="00787825"/>
    <w:rsid w:val="00787A5C"/>
    <w:rsid w:val="007A3A8D"/>
    <w:rsid w:val="007B0BD7"/>
    <w:rsid w:val="007C1A5B"/>
    <w:rsid w:val="007D7B51"/>
    <w:rsid w:val="007E1EEF"/>
    <w:rsid w:val="007E5F19"/>
    <w:rsid w:val="007F386C"/>
    <w:rsid w:val="00804FCC"/>
    <w:rsid w:val="00815D49"/>
    <w:rsid w:val="008330A3"/>
    <w:rsid w:val="00844E96"/>
    <w:rsid w:val="00850B0F"/>
    <w:rsid w:val="00860186"/>
    <w:rsid w:val="00863905"/>
    <w:rsid w:val="00867BA4"/>
    <w:rsid w:val="00891C29"/>
    <w:rsid w:val="00897936"/>
    <w:rsid w:val="008A2426"/>
    <w:rsid w:val="008B413A"/>
    <w:rsid w:val="008B60B0"/>
    <w:rsid w:val="008C11AA"/>
    <w:rsid w:val="008C286B"/>
    <w:rsid w:val="008E228E"/>
    <w:rsid w:val="008E3C9B"/>
    <w:rsid w:val="008F3C85"/>
    <w:rsid w:val="00924F64"/>
    <w:rsid w:val="0094657A"/>
    <w:rsid w:val="00951A82"/>
    <w:rsid w:val="0096064D"/>
    <w:rsid w:val="009640A9"/>
    <w:rsid w:val="0097250C"/>
    <w:rsid w:val="00980DBA"/>
    <w:rsid w:val="00996705"/>
    <w:rsid w:val="0099787F"/>
    <w:rsid w:val="009A280D"/>
    <w:rsid w:val="009B3602"/>
    <w:rsid w:val="009B56B7"/>
    <w:rsid w:val="009B5F43"/>
    <w:rsid w:val="009B7B94"/>
    <w:rsid w:val="009B7C12"/>
    <w:rsid w:val="009C6D89"/>
    <w:rsid w:val="009C6E27"/>
    <w:rsid w:val="009D17A8"/>
    <w:rsid w:val="009D27A9"/>
    <w:rsid w:val="009D5A68"/>
    <w:rsid w:val="009E12D5"/>
    <w:rsid w:val="009E3B9F"/>
    <w:rsid w:val="009F14F2"/>
    <w:rsid w:val="009F1520"/>
    <w:rsid w:val="00A05E9A"/>
    <w:rsid w:val="00A11DB5"/>
    <w:rsid w:val="00A243B5"/>
    <w:rsid w:val="00A33E9A"/>
    <w:rsid w:val="00A47E0A"/>
    <w:rsid w:val="00A52DB9"/>
    <w:rsid w:val="00A62CF5"/>
    <w:rsid w:val="00A63FFA"/>
    <w:rsid w:val="00A83D3B"/>
    <w:rsid w:val="00A93EDD"/>
    <w:rsid w:val="00AB2717"/>
    <w:rsid w:val="00AB5F1B"/>
    <w:rsid w:val="00AB77CD"/>
    <w:rsid w:val="00AC0342"/>
    <w:rsid w:val="00AC314A"/>
    <w:rsid w:val="00AC77C2"/>
    <w:rsid w:val="00AD0733"/>
    <w:rsid w:val="00AD73C5"/>
    <w:rsid w:val="00AE4AC2"/>
    <w:rsid w:val="00AE5230"/>
    <w:rsid w:val="00B06267"/>
    <w:rsid w:val="00B10D6D"/>
    <w:rsid w:val="00B25948"/>
    <w:rsid w:val="00B54E8B"/>
    <w:rsid w:val="00B604B8"/>
    <w:rsid w:val="00B6200C"/>
    <w:rsid w:val="00B64585"/>
    <w:rsid w:val="00B6592A"/>
    <w:rsid w:val="00BA670C"/>
    <w:rsid w:val="00BB15D6"/>
    <w:rsid w:val="00BB3367"/>
    <w:rsid w:val="00BC19BB"/>
    <w:rsid w:val="00BC1AE7"/>
    <w:rsid w:val="00BC269F"/>
    <w:rsid w:val="00BC2963"/>
    <w:rsid w:val="00BD229D"/>
    <w:rsid w:val="00BD2FC1"/>
    <w:rsid w:val="00BE0005"/>
    <w:rsid w:val="00BF35AE"/>
    <w:rsid w:val="00BF7BA4"/>
    <w:rsid w:val="00C15120"/>
    <w:rsid w:val="00C30219"/>
    <w:rsid w:val="00C44714"/>
    <w:rsid w:val="00C45B49"/>
    <w:rsid w:val="00C504B1"/>
    <w:rsid w:val="00C50996"/>
    <w:rsid w:val="00C50C7D"/>
    <w:rsid w:val="00C51014"/>
    <w:rsid w:val="00C53E79"/>
    <w:rsid w:val="00C618A5"/>
    <w:rsid w:val="00C62704"/>
    <w:rsid w:val="00C675C0"/>
    <w:rsid w:val="00C71102"/>
    <w:rsid w:val="00C72D87"/>
    <w:rsid w:val="00C8505B"/>
    <w:rsid w:val="00C86C69"/>
    <w:rsid w:val="00C86C9A"/>
    <w:rsid w:val="00C9636A"/>
    <w:rsid w:val="00CA605B"/>
    <w:rsid w:val="00CA7FF3"/>
    <w:rsid w:val="00CB68EC"/>
    <w:rsid w:val="00CB7BFB"/>
    <w:rsid w:val="00CC01F6"/>
    <w:rsid w:val="00CC603B"/>
    <w:rsid w:val="00CC7B71"/>
    <w:rsid w:val="00CF0CBC"/>
    <w:rsid w:val="00CF3F14"/>
    <w:rsid w:val="00CF4411"/>
    <w:rsid w:val="00CF5A8B"/>
    <w:rsid w:val="00D02F46"/>
    <w:rsid w:val="00D05325"/>
    <w:rsid w:val="00D1098C"/>
    <w:rsid w:val="00D11B1D"/>
    <w:rsid w:val="00D14341"/>
    <w:rsid w:val="00D33ADC"/>
    <w:rsid w:val="00D357F6"/>
    <w:rsid w:val="00D37326"/>
    <w:rsid w:val="00D43F91"/>
    <w:rsid w:val="00D56165"/>
    <w:rsid w:val="00D624C2"/>
    <w:rsid w:val="00D64404"/>
    <w:rsid w:val="00D713C7"/>
    <w:rsid w:val="00D71AA1"/>
    <w:rsid w:val="00D74B97"/>
    <w:rsid w:val="00D75C36"/>
    <w:rsid w:val="00D82A50"/>
    <w:rsid w:val="00D95263"/>
    <w:rsid w:val="00DA1631"/>
    <w:rsid w:val="00DA218C"/>
    <w:rsid w:val="00DB16DF"/>
    <w:rsid w:val="00DC4327"/>
    <w:rsid w:val="00DC5A72"/>
    <w:rsid w:val="00DE01B9"/>
    <w:rsid w:val="00DE7678"/>
    <w:rsid w:val="00E0335B"/>
    <w:rsid w:val="00E077FA"/>
    <w:rsid w:val="00E121D3"/>
    <w:rsid w:val="00E12EA4"/>
    <w:rsid w:val="00E169A9"/>
    <w:rsid w:val="00E17DB6"/>
    <w:rsid w:val="00E2451E"/>
    <w:rsid w:val="00E261D5"/>
    <w:rsid w:val="00E2629F"/>
    <w:rsid w:val="00E368F2"/>
    <w:rsid w:val="00E36C63"/>
    <w:rsid w:val="00E40043"/>
    <w:rsid w:val="00E4037B"/>
    <w:rsid w:val="00E45774"/>
    <w:rsid w:val="00E53DFE"/>
    <w:rsid w:val="00E633F8"/>
    <w:rsid w:val="00E753AC"/>
    <w:rsid w:val="00E75AAB"/>
    <w:rsid w:val="00E8163F"/>
    <w:rsid w:val="00E923D7"/>
    <w:rsid w:val="00EA6352"/>
    <w:rsid w:val="00EA7A8A"/>
    <w:rsid w:val="00EB6E76"/>
    <w:rsid w:val="00EB7ED8"/>
    <w:rsid w:val="00EC331E"/>
    <w:rsid w:val="00EC7605"/>
    <w:rsid w:val="00ED2001"/>
    <w:rsid w:val="00ED61FF"/>
    <w:rsid w:val="00EF0CE4"/>
    <w:rsid w:val="00F137FB"/>
    <w:rsid w:val="00F14328"/>
    <w:rsid w:val="00F242A2"/>
    <w:rsid w:val="00F46655"/>
    <w:rsid w:val="00F5658B"/>
    <w:rsid w:val="00F63D94"/>
    <w:rsid w:val="00F72859"/>
    <w:rsid w:val="00FA0203"/>
    <w:rsid w:val="00FA022C"/>
    <w:rsid w:val="00FA3396"/>
    <w:rsid w:val="00FB0B6B"/>
    <w:rsid w:val="00FB1037"/>
    <w:rsid w:val="00FB1AEC"/>
    <w:rsid w:val="00FB53ED"/>
    <w:rsid w:val="00FC1B65"/>
    <w:rsid w:val="00FC2F04"/>
    <w:rsid w:val="00FD2064"/>
    <w:rsid w:val="00FE3A47"/>
    <w:rsid w:val="00FE528F"/>
    <w:rsid w:val="00FF32CB"/>
    <w:rsid w:val="08BF40E2"/>
    <w:rsid w:val="3E80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kern w:val="44"/>
      <w:sz w:val="18"/>
      <w:szCs w:val="1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kern w:val="0"/>
      <w:sz w:val="18"/>
      <w:szCs w:val="1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styleId="12">
    <w:name w:val="FollowedHyperlink"/>
    <w:basedOn w:val="10"/>
    <w:uiPriority w:val="0"/>
    <w:rPr>
      <w:color w:val="000000"/>
      <w:u w:val="none"/>
    </w:rPr>
  </w:style>
  <w:style w:type="paragraph" w:customStyle="1" w:styleId="13">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4">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样式 宋体 小四 加粗 段前: 7.8 磅 加宽量  0.3 磅 行距: 固定值 22 磅 首行缩进:  2 字符"/>
    <w:basedOn w:val="1"/>
    <w:uiPriority w:val="0"/>
    <w:pPr>
      <w:spacing w:before="160" w:after="160" w:line="440" w:lineRule="exact"/>
      <w:ind w:firstLine="200" w:firstLineChars="200"/>
    </w:pPr>
    <w:rPr>
      <w:rFonts w:ascii="宋体" w:hAnsi="宋体" w:cs="宋体"/>
      <w:b/>
      <w:bCs/>
      <w:spacing w:val="6"/>
      <w:sz w:val="24"/>
      <w:szCs w:val="20"/>
    </w:rPr>
  </w:style>
  <w:style w:type="paragraph" w:customStyle="1" w:styleId="16">
    <w:name w:val="段"/>
    <w:link w:val="17"/>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17">
    <w:name w:val="段 Char"/>
    <w:link w:val="16"/>
    <w:qFormat/>
    <w:uiPriority w:val="0"/>
    <w:rPr>
      <w:rFonts w:ascii="宋体"/>
      <w:kern w:val="2"/>
      <w:sz w:val="21"/>
      <w:szCs w:val="24"/>
      <w:lang w:val="en-US" w:eastAsia="zh-CN" w:bidi="ar-SA"/>
    </w:rPr>
  </w:style>
  <w:style w:type="character" w:customStyle="1" w:styleId="18">
    <w:name w:val="apple-style-span"/>
    <w:basedOn w:val="10"/>
    <w:uiPriority w:val="0"/>
  </w:style>
  <w:style w:type="paragraph" w:customStyle="1" w:styleId="19">
    <w:name w:val="章标题"/>
    <w:next w:val="16"/>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20">
    <w:name w:val="列项——（一级）"/>
    <w:uiPriority w:val="0"/>
    <w:pPr>
      <w:widowControl w:val="0"/>
      <w:numPr>
        <w:ilvl w:val="0"/>
        <w:numId w:val="1"/>
      </w:numPr>
      <w:jc w:val="both"/>
    </w:pPr>
    <w:rPr>
      <w:rFonts w:ascii="宋体" w:hAnsi="Times New Roman" w:eastAsia="宋体" w:cs="Times New Roman"/>
      <w:sz w:val="21"/>
      <w:lang w:val="en-US" w:eastAsia="zh-CN" w:bidi="ar-SA"/>
    </w:rPr>
  </w:style>
  <w:style w:type="paragraph" w:customStyle="1" w:styleId="21">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22">
    <w:name w:val="列项◆（三级）"/>
    <w:basedOn w:val="1"/>
    <w:qFormat/>
    <w:uiPriority w:val="0"/>
    <w:pPr>
      <w:numPr>
        <w:ilvl w:val="2"/>
        <w:numId w:val="1"/>
      </w:numPr>
    </w:pPr>
    <w:rPr>
      <w:rFonts w:ascii="宋体"/>
      <w:szCs w:val="21"/>
    </w:rPr>
  </w:style>
  <w:style w:type="paragraph" w:customStyle="1" w:styleId="23">
    <w:name w:val="一级条标题"/>
    <w:next w:val="16"/>
    <w:qFormat/>
    <w:uiPriority w:val="0"/>
    <w:pPr>
      <w:outlineLvl w:val="2"/>
    </w:pPr>
    <w:rPr>
      <w:rFonts w:ascii="Times New Roman" w:hAnsi="Times New Roman" w:eastAsia="黑体" w:cs="Times New Roman"/>
      <w:sz w:val="21"/>
      <w:lang w:val="en-US" w:eastAsia="zh-CN" w:bidi="ar-SA"/>
    </w:rPr>
  </w:style>
  <w:style w:type="character" w:customStyle="1" w:styleId="24">
    <w:name w:val="pic2"/>
    <w:basedOn w:val="10"/>
    <w:uiPriority w:val="0"/>
  </w:style>
  <w:style w:type="character" w:customStyle="1" w:styleId="25">
    <w:name w:val="pic1"/>
    <w:basedOn w:val="10"/>
    <w:uiPriority w:val="0"/>
  </w:style>
  <w:style w:type="paragraph" w:styleId="26">
    <w:name w:val="List Paragraph"/>
    <w:basedOn w:val="1"/>
    <w:unhideWhenUsed/>
    <w:uiPriority w:val="99"/>
    <w:pPr>
      <w:ind w:firstLine="420" w:firstLineChars="200"/>
    </w:pPr>
  </w:style>
  <w:style w:type="paragraph" w:customStyle="1" w:styleId="27">
    <w:name w:val="标准文件_二级条标题"/>
    <w:next w:val="1"/>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28">
    <w:name w:val="标准文件_三级条标题"/>
    <w:basedOn w:val="27"/>
    <w:next w:val="1"/>
    <w:uiPriority w:val="0"/>
    <w:pPr>
      <w:widowControl/>
      <w:numPr>
        <w:ilvl w:val="4"/>
      </w:numPr>
      <w:outlineLvl w:val="3"/>
    </w:pPr>
  </w:style>
  <w:style w:type="paragraph" w:customStyle="1" w:styleId="29">
    <w:name w:val="标准文件_四级条标题"/>
    <w:next w:val="1"/>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30">
    <w:name w:val="标准文件_五级条标题"/>
    <w:next w:val="1"/>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31">
    <w:name w:val="标准文件_章标题"/>
    <w:next w:val="1"/>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32">
    <w:name w:val="标准文件_一级条标题"/>
    <w:basedOn w:val="31"/>
    <w:next w:val="1"/>
    <w:uiPriority w:val="0"/>
    <w:pPr>
      <w:numPr>
        <w:ilvl w:val="2"/>
      </w:numPr>
      <w:spacing w:beforeLines="50" w:afterLines="50"/>
      <w:outlineLvl w:val="1"/>
    </w:pPr>
  </w:style>
  <w:style w:type="paragraph" w:customStyle="1" w:styleId="3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4">
    <w:name w:val="标准文件_段"/>
    <w:link w:val="35"/>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标准文件_段 Char"/>
    <w:link w:val="34"/>
    <w:uiPriority w:val="0"/>
    <w:rPr>
      <w:rFonts w:ascii="宋体"/>
      <w:sz w:val="21"/>
    </w:rPr>
  </w:style>
  <w:style w:type="paragraph" w:customStyle="1" w:styleId="36">
    <w:name w:val="标准文件_文件名称"/>
    <w:basedOn w:val="34"/>
    <w:next w:val="34"/>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289;&#21697;&#32534;&#30721;&#37096;\&#31185;&#23460;&#24037;&#20316;\GS1-XML&#26631;&#20934;\&#22269;&#26631;\ebXML&#26631;&#20934;&#23457;&#23450;&#20250;&#26448;&#26009;&#21450;&#20107;&#39033;\ebXML&#26631;&#20934;&#23457;&#23450;&#20250;&#26448;&#26009;&#21450;&#20107;&#39033;\ebXML&#25253;&#25991;&#26631;&#20934;&#36865;&#23457;&#31295;---&#20013;&#22269;&#32534;&#30721;&#20013;&#24515;\&#31119;&#24314;&#36865;&#23457;&#31295;&#26448;&#26009;\&#38468;&#20214;2.2&#22522;&#20110;ebXML&#30340;&#29289;&#27969;&#20449;&#24687;&#25253;&#25991;%20%20&#21457;&#36135;&#36890;&#30693;&#65288;&#36865;&#23457;&#31295;&#65289;&#32534;&#21046;&#35828;&#261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附件2.2基于ebXML的物流信息报文  发货通知（送审稿）编制说明</Template>
  <Company>ANCC</Company>
  <Pages>4</Pages>
  <Words>1387</Words>
  <Characters>99</Characters>
  <Lines>1</Lines>
  <Paragraphs>2</Paragraphs>
  <TotalTime>61</TotalTime>
  <ScaleCrop>false</ScaleCrop>
  <LinksUpToDate>false</LinksUpToDate>
  <CharactersWithSpaces>1484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2021-05-10T07:02:00Z</dcterms:created>
  <dc:creator>陈丽辉</dc:creator>
  <cp:lastModifiedBy>刘艳群</cp:lastModifiedBy>
  <cp:lastPrinted>2021-10-31T03:01:00Z</cp:lastPrinted>
  <dcterms:modified xsi:type="dcterms:W3CDTF">2021-11-08T02:55:19Z</dcterms:modified>
  <dc:title>一、关于题目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45BBB9BAFA434BA29178D2CBBA1A4891</vt:lpwstr>
  </property>
</Properties>
</file>