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BF" w:rsidRPr="004545BF" w:rsidRDefault="004545BF" w:rsidP="004545BF">
      <w:pPr>
        <w:widowControl/>
        <w:spacing w:after="225" w:line="480" w:lineRule="atLeast"/>
        <w:jc w:val="center"/>
        <w:outlineLvl w:val="3"/>
        <w:rPr>
          <w:rFonts w:ascii="微软雅黑" w:eastAsia="微软雅黑" w:hAnsi="微软雅黑" w:cs="Arial"/>
          <w:color w:val="000000"/>
          <w:kern w:val="0"/>
          <w:sz w:val="36"/>
          <w:szCs w:val="36"/>
        </w:rPr>
      </w:pPr>
      <w:r w:rsidRPr="004545BF">
        <w:rPr>
          <w:rFonts w:ascii="微软雅黑" w:eastAsia="微软雅黑" w:hAnsi="微软雅黑" w:cs="Arial" w:hint="eastAsia"/>
          <w:color w:val="000000"/>
          <w:kern w:val="0"/>
          <w:sz w:val="36"/>
          <w:szCs w:val="36"/>
        </w:rPr>
        <w:t>关于医疗器械注册及生产许可有关问题的通告</w:t>
      </w:r>
    </w:p>
    <w:p w:rsidR="004545BF" w:rsidRPr="004545BF" w:rsidRDefault="004545BF" w:rsidP="004545BF">
      <w:pPr>
        <w:widowControl/>
        <w:spacing w:line="330" w:lineRule="atLeast"/>
        <w:jc w:val="center"/>
        <w:rPr>
          <w:rFonts w:ascii="Arial" w:eastAsia="宋体" w:hAnsi="Arial" w:cs="Arial" w:hint="eastAsia"/>
          <w:color w:val="999999"/>
          <w:kern w:val="0"/>
          <w:szCs w:val="21"/>
        </w:rPr>
      </w:pPr>
      <w:r w:rsidRPr="004545BF">
        <w:rPr>
          <w:rFonts w:ascii="Arial" w:eastAsia="宋体" w:hAnsi="Arial" w:cs="Arial"/>
          <w:color w:val="999999"/>
          <w:kern w:val="0"/>
        </w:rPr>
        <w:t>2016-11-21</w:t>
      </w:r>
      <w:r w:rsidRPr="004545BF">
        <w:rPr>
          <w:rFonts w:ascii="Arial" w:eastAsia="宋体" w:hAnsi="Arial" w:cs="Arial"/>
          <w:color w:val="999999"/>
          <w:kern w:val="0"/>
          <w:szCs w:val="21"/>
        </w:rPr>
        <w:t>字号</w:t>
      </w:r>
      <w:r w:rsidRPr="004545BF">
        <w:rPr>
          <w:rFonts w:ascii="Arial" w:eastAsia="宋体" w:hAnsi="Arial" w:cs="Arial"/>
          <w:color w:val="999999"/>
          <w:kern w:val="0"/>
          <w:szCs w:val="21"/>
        </w:rPr>
        <w:t>:</w:t>
      </w:r>
      <w:r w:rsidRPr="004545BF">
        <w:rPr>
          <w:rFonts w:ascii="Arial" w:eastAsia="宋体" w:hAnsi="Arial" w:cs="Arial"/>
          <w:color w:val="999999"/>
          <w:kern w:val="0"/>
        </w:rPr>
        <w:t> </w:t>
      </w:r>
      <w:hyperlink r:id="rId6" w:history="1">
        <w:r w:rsidRPr="004545BF">
          <w:rPr>
            <w:rFonts w:ascii="Arial" w:eastAsia="宋体" w:hAnsi="Arial" w:cs="Arial"/>
            <w:color w:val="999999"/>
            <w:kern w:val="0"/>
          </w:rPr>
          <w:t>大</w:t>
        </w:r>
      </w:hyperlink>
      <w:r w:rsidRPr="004545BF">
        <w:rPr>
          <w:rFonts w:ascii="Arial" w:eastAsia="宋体" w:hAnsi="Arial" w:cs="Arial"/>
          <w:color w:val="999999"/>
          <w:kern w:val="0"/>
          <w:szCs w:val="21"/>
        </w:rPr>
        <w:t> </w:t>
      </w:r>
      <w:hyperlink r:id="rId7" w:history="1">
        <w:r w:rsidRPr="004545BF">
          <w:rPr>
            <w:rFonts w:ascii="Arial" w:eastAsia="宋体" w:hAnsi="Arial" w:cs="Arial"/>
            <w:color w:val="999999"/>
            <w:kern w:val="0"/>
          </w:rPr>
          <w:t>中</w:t>
        </w:r>
      </w:hyperlink>
      <w:r w:rsidRPr="004545BF">
        <w:rPr>
          <w:rFonts w:ascii="Arial" w:eastAsia="宋体" w:hAnsi="Arial" w:cs="Arial"/>
          <w:color w:val="999999"/>
          <w:kern w:val="0"/>
          <w:szCs w:val="21"/>
        </w:rPr>
        <w:t> </w:t>
      </w:r>
      <w:hyperlink r:id="rId8" w:history="1">
        <w:r w:rsidRPr="004545BF">
          <w:rPr>
            <w:rFonts w:ascii="Arial" w:eastAsia="宋体" w:hAnsi="Arial" w:cs="Arial"/>
            <w:color w:val="999999"/>
            <w:kern w:val="0"/>
          </w:rPr>
          <w:t>小</w:t>
        </w:r>
      </w:hyperlink>
    </w:p>
    <w:p w:rsidR="004545BF" w:rsidRPr="004545BF" w:rsidRDefault="004545BF" w:rsidP="004545BF">
      <w:pPr>
        <w:widowControl/>
        <w:wordWrap w:val="0"/>
        <w:spacing w:line="520" w:lineRule="atLeast"/>
        <w:jc w:val="center"/>
        <w:rPr>
          <w:rFonts w:ascii="Times New Roman" w:eastAsia="方正小标宋简体" w:hAnsi="Times New Roman" w:cs="Times New Roman"/>
          <w:color w:val="333333"/>
          <w:kern w:val="0"/>
          <w:szCs w:val="21"/>
        </w:rPr>
      </w:pPr>
      <w:r w:rsidRPr="004545BF">
        <w:rPr>
          <w:rFonts w:ascii="方正小标宋_GBK" w:eastAsia="方正小标宋_GBK" w:hAnsi="Times New Roman" w:cs="Times New Roman" w:hint="eastAsia"/>
          <w:color w:val="333333"/>
          <w:kern w:val="0"/>
          <w:sz w:val="44"/>
          <w:szCs w:val="44"/>
        </w:rPr>
        <w:t>关于医疗器械注册及生产许可有关问题的</w:t>
      </w:r>
    </w:p>
    <w:p w:rsidR="004545BF" w:rsidRPr="004545BF" w:rsidRDefault="004545BF" w:rsidP="004545BF">
      <w:pPr>
        <w:widowControl/>
        <w:wordWrap w:val="0"/>
        <w:spacing w:line="520" w:lineRule="atLeast"/>
        <w:jc w:val="center"/>
        <w:rPr>
          <w:rFonts w:ascii="Times New Roman" w:eastAsia="方正小标宋简体" w:hAnsi="Times New Roman" w:cs="Times New Roman"/>
          <w:color w:val="333333"/>
          <w:kern w:val="0"/>
          <w:szCs w:val="21"/>
        </w:rPr>
      </w:pPr>
      <w:r w:rsidRPr="004545BF">
        <w:rPr>
          <w:rFonts w:ascii="方正小标宋_GBK" w:eastAsia="方正小标宋_GBK" w:hAnsi="Times New Roman" w:cs="Times New Roman" w:hint="eastAsia"/>
          <w:color w:val="333333"/>
          <w:kern w:val="0"/>
          <w:sz w:val="44"/>
          <w:szCs w:val="44"/>
        </w:rPr>
        <w:t>通告</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宋体" w:eastAsia="宋体" w:hAnsi="宋体" w:cs="Times New Roman" w:hint="eastAsia"/>
          <w:color w:val="333333"/>
          <w:kern w:val="0"/>
          <w:szCs w:val="21"/>
        </w:rPr>
        <w:t> </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Times New Roman" w:eastAsia="方正小标宋简体" w:hAnsi="Times New Roman" w:cs="Times New Roman"/>
          <w:color w:val="333333"/>
          <w:kern w:val="0"/>
          <w:szCs w:val="21"/>
        </w:rPr>
        <w:t> </w:t>
      </w:r>
      <w:r w:rsidRPr="004545BF">
        <w:rPr>
          <w:rFonts w:ascii="仿宋_GB2312" w:eastAsia="仿宋_GB2312" w:hAnsi="Times New Roman" w:cs="Times New Roman" w:hint="eastAsia"/>
          <w:color w:val="000000"/>
          <w:kern w:val="0"/>
          <w:sz w:val="32"/>
          <w:szCs w:val="32"/>
        </w:rPr>
        <w:t>《医疗器械监督管理条例》（以下简称《条例》）已于2014年6月1日起施行，其配套的《医疗器械注册管理办法》（国家食品药品监督管理总局令第4号）、《体外诊断试剂注册管理办法》（国家食品药品监督管理总局令第5号）和《医疗器械生产监督管理办法》（国家食品药品监督管理总局令第7号）（以下统称《办法》）也于2014年10月1日起实施。为进一步明确我省医疗器械注册及生产许可有关事项，做好衔接工作，现将有关事项通告如下：</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一、医疗器械生产企业在2014年10月1日《医疗器械注册管理办法》、《体外诊断试剂注册管理办法》实施后取得新版《医疗器械注册证》的，应按照规定申请相应产品的生产许可，原持有《医疗器械生产企业许可证》的企业，应申请办理增加生产产品的许可变更，企业在取得新的《医疗器械生产许可证》并在生产产品登记表中登载相应品种后方可组织生产。</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二、根据《食品药品监管总局关于执行医疗器械和体外诊断试剂注册管理办法有关问题的通知》（食药监械管〔2015〕247号）要求，产品延续注册时，企业未能及时充分证</w:t>
      </w:r>
      <w:r w:rsidRPr="004545BF">
        <w:rPr>
          <w:rFonts w:ascii="仿宋_GB2312" w:eastAsia="仿宋_GB2312" w:hAnsi="Times New Roman" w:cs="Times New Roman" w:hint="eastAsia"/>
          <w:color w:val="000000"/>
          <w:kern w:val="0"/>
          <w:sz w:val="32"/>
          <w:szCs w:val="32"/>
        </w:rPr>
        <w:lastRenderedPageBreak/>
        <w:t>明其产品符合新的强制性标准，导致医疗器械注册证有效期届满前食品药品监督管理部门未能作出决定的，须待该企业补齐相关资料后方可延续。新旧注册证衔接断档期视同未取得医疗器械注册证，相关企业应严格执行《办法》，不得组织生产。</w:t>
      </w:r>
    </w:p>
    <w:p w:rsidR="004545BF" w:rsidRPr="004545BF" w:rsidRDefault="004545BF" w:rsidP="004545BF">
      <w:pPr>
        <w:widowControl/>
        <w:wordWrap w:val="0"/>
        <w:ind w:firstLine="640"/>
        <w:jc w:val="left"/>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三、医疗器械生产企业实际生产地址与其生产许可证或产品注册证上载明的生产地址不符，或在医疗器械生产许可证登载的生产地址以外增设生产场所及仓库的，应及时申报变更。</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四、《福建省食品药品监督管理局关于第二类定制式义齿注册申报有关事项的通知》（闽食药监函〔2015〕400号）已于2015年9月10日发布实施，相关企业应遵照执行。企业未取得定制式固定全瓷义齿注册证或定制式固定义齿产品注册证型号规格中无二氧化锆全瓷义齿的，均不得生产定制式固定全瓷义齿，否则应按《条例》第六十三条规定依法查处。</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企业已取得新版定制式固定全瓷义齿注册证或定制式固定义齿产品注册证型号规格中有二氧化锆全瓷义齿的，应及时办理医疗器械生产许可证增加生产产品，未经许可的，不得组织生产。</w:t>
      </w:r>
    </w:p>
    <w:p w:rsidR="004545BF" w:rsidRPr="004545BF" w:rsidRDefault="004545BF" w:rsidP="004545BF">
      <w:pPr>
        <w:widowControl/>
        <w:wordWrap w:val="0"/>
        <w:ind w:firstLine="64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lastRenderedPageBreak/>
        <w:t>五、自本通告发布之日起，相关企业应按照本通告要求，及时办理医疗器械生产许可证变更手续，如仍有企业未按规定擅自生产的，将按照《条例》要求严肃查处。</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r w:rsidRPr="004545BF">
        <w:rPr>
          <w:rFonts w:ascii="仿宋_GB2312" w:eastAsia="仿宋_GB2312" w:hAnsi="Times New Roman" w:cs="Times New Roman" w:hint="eastAsia"/>
          <w:color w:val="000000"/>
          <w:kern w:val="0"/>
          <w:sz w:val="32"/>
          <w:szCs w:val="32"/>
        </w:rPr>
        <w:t xml:space="preserve"> </w:t>
      </w:r>
      <w:r w:rsidRPr="004545BF">
        <w:rPr>
          <w:rFonts w:ascii="仿宋_GB2312" w:eastAsia="仿宋_GB2312" w:hAnsi="Times New Roman" w:cs="Times New Roman" w:hint="eastAsia"/>
          <w:color w:val="000000"/>
          <w:kern w:val="0"/>
          <w:sz w:val="32"/>
          <w:szCs w:val="32"/>
        </w:rPr>
        <w:t>    </w:t>
      </w:r>
      <w:r w:rsidRPr="004545BF">
        <w:rPr>
          <w:rFonts w:ascii="仿宋_GB2312" w:eastAsia="仿宋_GB2312" w:hAnsi="Times New Roman" w:cs="Times New Roman" w:hint="eastAsia"/>
          <w:color w:val="000000"/>
          <w:kern w:val="0"/>
          <w:sz w:val="32"/>
          <w:szCs w:val="32"/>
        </w:rPr>
        <w:t>福建省食品药品监督管理局</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r w:rsidRPr="004545BF">
        <w:rPr>
          <w:rFonts w:ascii="仿宋_GB2312" w:eastAsia="仿宋_GB2312" w:hAnsi="Times New Roman" w:cs="Times New Roman" w:hint="eastAsia"/>
          <w:color w:val="000000"/>
          <w:kern w:val="0"/>
          <w:sz w:val="32"/>
          <w:szCs w:val="32"/>
        </w:rPr>
        <w:t xml:space="preserve"> </w:t>
      </w:r>
      <w:r w:rsidRPr="004545BF">
        <w:rPr>
          <w:rFonts w:ascii="仿宋_GB2312" w:eastAsia="仿宋_GB2312" w:hAnsi="Times New Roman" w:cs="Times New Roman" w:hint="eastAsia"/>
          <w:color w:val="000000"/>
          <w:kern w:val="0"/>
          <w:sz w:val="32"/>
          <w:szCs w:val="32"/>
        </w:rPr>
        <w:t>    </w:t>
      </w:r>
      <w:r w:rsidRPr="004545BF">
        <w:rPr>
          <w:rFonts w:ascii="仿宋_GB2312" w:eastAsia="仿宋_GB2312" w:hAnsi="Times New Roman" w:cs="Times New Roman" w:hint="eastAsia"/>
          <w:color w:val="000000"/>
          <w:kern w:val="0"/>
          <w:sz w:val="32"/>
          <w:szCs w:val="32"/>
        </w:rPr>
        <w:t>2016年11月2日</w:t>
      </w:r>
    </w:p>
    <w:p w:rsidR="004545BF" w:rsidRPr="004545BF" w:rsidRDefault="004545BF" w:rsidP="004545BF">
      <w:pPr>
        <w:widowControl/>
        <w:wordWrap w:val="0"/>
        <w:rPr>
          <w:rFonts w:ascii="Times New Roman" w:eastAsia="方正小标宋简体" w:hAnsi="Times New Roman" w:cs="Times New Roman"/>
          <w:color w:val="333333"/>
          <w:kern w:val="0"/>
          <w:szCs w:val="21"/>
        </w:rPr>
      </w:pPr>
      <w:r w:rsidRPr="004545BF">
        <w:rPr>
          <w:rFonts w:ascii="仿宋_GB2312" w:eastAsia="仿宋_GB2312" w:hAnsi="Times New Roman" w:cs="Times New Roman" w:hint="eastAsia"/>
          <w:color w:val="000000"/>
          <w:kern w:val="0"/>
          <w:sz w:val="32"/>
          <w:szCs w:val="32"/>
        </w:rPr>
        <w:t> </w:t>
      </w:r>
    </w:p>
    <w:p w:rsidR="00157319" w:rsidRDefault="00157319"/>
    <w:sectPr w:rsidR="001573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319" w:rsidRDefault="00157319" w:rsidP="004545BF">
      <w:r>
        <w:separator/>
      </w:r>
    </w:p>
  </w:endnote>
  <w:endnote w:type="continuationSeparator" w:id="1">
    <w:p w:rsidR="00157319" w:rsidRDefault="00157319" w:rsidP="004545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319" w:rsidRDefault="00157319" w:rsidP="004545BF">
      <w:r>
        <w:separator/>
      </w:r>
    </w:p>
  </w:footnote>
  <w:footnote w:type="continuationSeparator" w:id="1">
    <w:p w:rsidR="00157319" w:rsidRDefault="00157319" w:rsidP="004545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5BF"/>
    <w:rsid w:val="00157319"/>
    <w:rsid w:val="00454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basedOn w:val="a"/>
    <w:link w:val="4Char"/>
    <w:uiPriority w:val="9"/>
    <w:qFormat/>
    <w:rsid w:val="004545BF"/>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4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45BF"/>
    <w:rPr>
      <w:sz w:val="18"/>
      <w:szCs w:val="18"/>
    </w:rPr>
  </w:style>
  <w:style w:type="paragraph" w:styleId="a4">
    <w:name w:val="footer"/>
    <w:basedOn w:val="a"/>
    <w:link w:val="Char0"/>
    <w:uiPriority w:val="99"/>
    <w:semiHidden/>
    <w:unhideWhenUsed/>
    <w:rsid w:val="004545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45BF"/>
    <w:rPr>
      <w:sz w:val="18"/>
      <w:szCs w:val="18"/>
    </w:rPr>
  </w:style>
  <w:style w:type="character" w:customStyle="1" w:styleId="4Char">
    <w:name w:val="标题 4 Char"/>
    <w:basedOn w:val="a0"/>
    <w:link w:val="4"/>
    <w:uiPriority w:val="9"/>
    <w:rsid w:val="004545BF"/>
    <w:rPr>
      <w:rFonts w:ascii="宋体" w:eastAsia="宋体" w:hAnsi="宋体" w:cs="宋体"/>
      <w:b/>
      <w:bCs/>
      <w:kern w:val="0"/>
      <w:sz w:val="24"/>
      <w:szCs w:val="24"/>
    </w:rPr>
  </w:style>
  <w:style w:type="paragraph" w:styleId="a5">
    <w:name w:val="Normal (Web)"/>
    <w:basedOn w:val="a"/>
    <w:uiPriority w:val="99"/>
    <w:semiHidden/>
    <w:unhideWhenUsed/>
    <w:rsid w:val="004545BF"/>
    <w:pPr>
      <w:widowControl/>
      <w:spacing w:before="100" w:beforeAutospacing="1" w:after="100" w:afterAutospacing="1"/>
      <w:jc w:val="left"/>
    </w:pPr>
    <w:rPr>
      <w:rFonts w:ascii="宋体" w:eastAsia="宋体" w:hAnsi="宋体" w:cs="宋体"/>
      <w:kern w:val="0"/>
      <w:sz w:val="24"/>
      <w:szCs w:val="24"/>
    </w:rPr>
  </w:style>
  <w:style w:type="character" w:customStyle="1" w:styleId="m-r-21">
    <w:name w:val="m-r-21"/>
    <w:basedOn w:val="a0"/>
    <w:rsid w:val="004545BF"/>
  </w:style>
  <w:style w:type="character" w:customStyle="1" w:styleId="apple-converted-space">
    <w:name w:val="apple-converted-space"/>
    <w:basedOn w:val="a0"/>
    <w:rsid w:val="004545BF"/>
  </w:style>
  <w:style w:type="character" w:styleId="a6">
    <w:name w:val="Hyperlink"/>
    <w:basedOn w:val="a0"/>
    <w:uiPriority w:val="99"/>
    <w:semiHidden/>
    <w:unhideWhenUsed/>
    <w:rsid w:val="004545BF"/>
    <w:rPr>
      <w:color w:val="0000FF"/>
      <w:u w:val="single"/>
    </w:rPr>
  </w:style>
  <w:style w:type="paragraph" w:customStyle="1" w:styleId="p0">
    <w:name w:val="p0"/>
    <w:basedOn w:val="a"/>
    <w:rsid w:val="004545B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3778095">
      <w:bodyDiv w:val="1"/>
      <w:marLeft w:val="0"/>
      <w:marRight w:val="0"/>
      <w:marTop w:val="0"/>
      <w:marBottom w:val="0"/>
      <w:divBdr>
        <w:top w:val="none" w:sz="0" w:space="0" w:color="auto"/>
        <w:left w:val="none" w:sz="0" w:space="0" w:color="auto"/>
        <w:bottom w:val="none" w:sz="0" w:space="0" w:color="auto"/>
        <w:right w:val="none" w:sz="0" w:space="0" w:color="auto"/>
      </w:divBdr>
      <w:divsChild>
        <w:div w:id="1519612767">
          <w:marLeft w:val="315"/>
          <w:marRight w:val="315"/>
          <w:marTop w:val="525"/>
          <w:marBottom w:val="0"/>
          <w:divBdr>
            <w:top w:val="none" w:sz="0" w:space="0" w:color="auto"/>
            <w:left w:val="none" w:sz="0" w:space="0" w:color="auto"/>
            <w:bottom w:val="dashed" w:sz="6" w:space="0" w:color="C4C3C3"/>
            <w:right w:val="none" w:sz="0" w:space="0" w:color="auto"/>
          </w:divBdr>
        </w:div>
        <w:div w:id="610162462">
          <w:marLeft w:val="0"/>
          <w:marRight w:val="0"/>
          <w:marTop w:val="0"/>
          <w:marBottom w:val="0"/>
          <w:divBdr>
            <w:top w:val="none" w:sz="0" w:space="0" w:color="auto"/>
            <w:left w:val="none" w:sz="0" w:space="0" w:color="auto"/>
            <w:bottom w:val="none" w:sz="0" w:space="0" w:color="auto"/>
            <w:right w:val="none" w:sz="0" w:space="0" w:color="auto"/>
          </w:divBdr>
          <w:divsChild>
            <w:div w:id="462386425">
              <w:marLeft w:val="0"/>
              <w:marRight w:val="0"/>
              <w:marTop w:val="0"/>
              <w:marBottom w:val="0"/>
              <w:divBdr>
                <w:top w:val="none" w:sz="0" w:space="0" w:color="auto"/>
                <w:left w:val="none" w:sz="0" w:space="0" w:color="auto"/>
                <w:bottom w:val="none" w:sz="0" w:space="0" w:color="auto"/>
                <w:right w:val="none" w:sz="0" w:space="0" w:color="auto"/>
              </w:divBdr>
              <w:divsChild>
                <w:div w:id="325669607">
                  <w:marLeft w:val="0"/>
                  <w:marRight w:val="0"/>
                  <w:marTop w:val="240"/>
                  <w:marBottom w:val="240"/>
                  <w:divBdr>
                    <w:top w:val="none" w:sz="0" w:space="0" w:color="auto"/>
                    <w:left w:val="none" w:sz="0" w:space="0" w:color="auto"/>
                    <w:bottom w:val="none" w:sz="0" w:space="0" w:color="auto"/>
                    <w:right w:val="none" w:sz="0" w:space="0" w:color="auto"/>
                  </w:divBdr>
                  <w:divsChild>
                    <w:div w:id="10083616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webSettings" Target="webSettings.xml"/><Relationship Id="rId7" Type="http://schemas.openxmlformats.org/officeDocument/2006/relationships/hyperlink" Target="javascript:voi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2017-04-01T10:57:00Z</dcterms:created>
  <dcterms:modified xsi:type="dcterms:W3CDTF">2017-04-01T10:57:00Z</dcterms:modified>
</cp:coreProperties>
</file>