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5D29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u w:val="none"/>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4"/>
          <w:szCs w:val="44"/>
          <w:u w:val="none"/>
          <w14:textFill>
            <w14:solidFill>
              <w14:schemeClr w14:val="tx1"/>
            </w14:solidFill>
          </w14:textFill>
        </w:rPr>
        <w:t>福州市市场监督管理局202</w:t>
      </w:r>
      <w:r>
        <w:rPr>
          <w:rFonts w:hint="eastAsia" w:ascii="方正小标宋简体" w:hAnsi="方正小标宋简体" w:eastAsia="方正小标宋简体" w:cs="方正小标宋简体"/>
          <w:i w:val="0"/>
          <w:iCs w:val="0"/>
          <w:caps w:val="0"/>
          <w:color w:val="000000" w:themeColor="text1"/>
          <w:spacing w:val="0"/>
          <w:sz w:val="44"/>
          <w:szCs w:val="44"/>
          <w:u w:val="none"/>
          <w:lang w:val="en-US" w:eastAsia="zh-CN"/>
          <w14:textFill>
            <w14:solidFill>
              <w14:schemeClr w14:val="tx1"/>
            </w14:solidFill>
          </w14:textFill>
        </w:rPr>
        <w:t>2</w:t>
      </w:r>
      <w:r>
        <w:rPr>
          <w:rFonts w:hint="eastAsia" w:ascii="方正小标宋简体" w:hAnsi="方正小标宋简体" w:eastAsia="方正小标宋简体" w:cs="方正小标宋简体"/>
          <w:i w:val="0"/>
          <w:iCs w:val="0"/>
          <w:caps w:val="0"/>
          <w:color w:val="000000" w:themeColor="text1"/>
          <w:spacing w:val="0"/>
          <w:sz w:val="44"/>
          <w:szCs w:val="44"/>
          <w:u w:val="none"/>
          <w14:textFill>
            <w14:solidFill>
              <w14:schemeClr w14:val="tx1"/>
            </w14:solidFill>
          </w14:textFill>
        </w:rPr>
        <w:t>年度</w:t>
      </w:r>
    </w:p>
    <w:p w14:paraId="4014218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u w:val="none"/>
          <w:lang w:val="en" w:eastAsia="zh-CN"/>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4"/>
          <w:szCs w:val="44"/>
          <w:u w:val="none"/>
          <w14:textFill>
            <w14:solidFill>
              <w14:schemeClr w14:val="tx1"/>
            </w14:solidFill>
          </w14:textFill>
        </w:rPr>
        <w:t>法治政府建设工作</w:t>
      </w:r>
      <w:r>
        <w:rPr>
          <w:rFonts w:hint="eastAsia" w:ascii="方正小标宋简体" w:hAnsi="方正小标宋简体" w:eastAsia="方正小标宋简体" w:cs="方正小标宋简体"/>
          <w:i w:val="0"/>
          <w:iCs w:val="0"/>
          <w:caps w:val="0"/>
          <w:color w:val="000000" w:themeColor="text1"/>
          <w:spacing w:val="0"/>
          <w:sz w:val="44"/>
          <w:szCs w:val="44"/>
          <w:u w:val="none"/>
          <w:lang w:eastAsia="zh-CN"/>
          <w14:textFill>
            <w14:solidFill>
              <w14:schemeClr w14:val="tx1"/>
            </w14:solidFill>
          </w14:textFill>
        </w:rPr>
        <w:t>情况报告</w:t>
      </w:r>
    </w:p>
    <w:p w14:paraId="1DECD5B1">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p>
    <w:p w14:paraId="1D7AA1BA">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微软雅黑" w:hAnsi="微软雅黑" w:eastAsia="微软雅黑" w:cs="微软雅黑"/>
          <w:i w:val="0"/>
          <w:iCs w:val="0"/>
          <w:caps w:val="0"/>
          <w:color w:val="auto"/>
          <w:spacing w:val="0"/>
          <w:sz w:val="32"/>
          <w:szCs w:val="32"/>
          <w:u w:val="none"/>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2022年以来，我局认真贯彻落实</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市</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委、</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市</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政府</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关于法治政府建设的工作部署</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，坚持“市场监管、法治先行”理念，以制度建设为基础，规范行政行为为重点，加强监督为保障，提升素质为关键，</w:t>
      </w:r>
      <w:r>
        <w:rPr>
          <w:rFonts w:hint="eastAsia" w:ascii="仿宋_GB2312" w:hAnsi="仿宋_GB2312" w:eastAsia="仿宋_GB2312" w:cs="仿宋_GB2312"/>
          <w:color w:val="000000" w:themeColor="text1"/>
          <w:sz w:val="32"/>
          <w:szCs w:val="32"/>
          <w14:textFill>
            <w14:solidFill>
              <w14:schemeClr w14:val="tx1"/>
            </w14:solidFill>
          </w14:textFill>
        </w:rPr>
        <w:t>充分发挥市场监管职能作用，在创建“法治政府建设示范市”过程中，强化担当，积极作为</w:t>
      </w:r>
      <w:r>
        <w:rPr>
          <w:rFonts w:hint="eastAsia" w:ascii="仿宋_GB2312" w:hAnsi="仿宋_GB2312" w:eastAsia="仿宋_GB2312" w:cs="仿宋_GB2312"/>
          <w:color w:val="000000" w:themeColor="text1"/>
          <w:sz w:val="32"/>
          <w:szCs w:val="32"/>
          <w:lang w:eastAsia="zh-CN"/>
          <w14:textFill>
            <w14:solidFill>
              <w14:schemeClr w14:val="tx1"/>
            </w14:solidFill>
          </w14:textFill>
        </w:rPr>
        <w:t>，为我市获得“全国法治政府建设示范市”做出贡献</w:t>
      </w:r>
      <w:r>
        <w:rPr>
          <w:rFonts w:hint="eastAsia" w:ascii="仿宋_GB2312" w:hAnsi="仿宋_GB2312" w:eastAsia="仿宋_GB2312" w:cs="仿宋_GB2312"/>
          <w:color w:val="000000" w:themeColor="text1"/>
          <w:sz w:val="32"/>
          <w:szCs w:val="32"/>
          <w14:textFill>
            <w14:solidFill>
              <w14:schemeClr w14:val="tx1"/>
            </w14:solidFill>
          </w14:textFill>
        </w:rPr>
        <w:t>。</w:t>
      </w:r>
    </w:p>
    <w:p w14:paraId="7723454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黑体" w:hAnsi="黑体" w:eastAsia="黑体" w:cs="黑体"/>
          <w:i w:val="0"/>
          <w:iCs w:val="0"/>
          <w:caps w:val="0"/>
          <w:color w:val="333333"/>
          <w:spacing w:val="0"/>
          <w:sz w:val="32"/>
          <w:szCs w:val="32"/>
          <w:u w:val="none"/>
        </w:rPr>
      </w:pPr>
      <w:r>
        <w:rPr>
          <w:rFonts w:hint="eastAsia" w:ascii="黑体" w:hAnsi="黑体" w:eastAsia="黑体" w:cs="黑体"/>
          <w:i w:val="0"/>
          <w:iCs w:val="0"/>
          <w:caps w:val="0"/>
          <w:color w:val="333333"/>
          <w:spacing w:val="0"/>
          <w:sz w:val="32"/>
          <w:szCs w:val="32"/>
        </w:rPr>
        <w:t>一、202</w:t>
      </w:r>
      <w:r>
        <w:rPr>
          <w:rFonts w:hint="eastAsia" w:ascii="黑体" w:hAnsi="黑体" w:eastAsia="黑体" w:cs="黑体"/>
          <w:i w:val="0"/>
          <w:iCs w:val="0"/>
          <w:caps w:val="0"/>
          <w:color w:val="333333"/>
          <w:spacing w:val="0"/>
          <w:sz w:val="32"/>
          <w:szCs w:val="32"/>
          <w:lang w:val="en-US" w:eastAsia="zh-CN"/>
        </w:rPr>
        <w:t>2</w:t>
      </w:r>
      <w:r>
        <w:rPr>
          <w:rFonts w:hint="eastAsia" w:ascii="黑体" w:hAnsi="黑体" w:eastAsia="黑体" w:cs="黑体"/>
          <w:i w:val="0"/>
          <w:iCs w:val="0"/>
          <w:caps w:val="0"/>
          <w:color w:val="333333"/>
          <w:spacing w:val="0"/>
          <w:sz w:val="32"/>
          <w:szCs w:val="32"/>
        </w:rPr>
        <w:t>年工作情况</w:t>
      </w:r>
    </w:p>
    <w:p w14:paraId="73C6661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jc w:val="both"/>
        <w:textAlignment w:val="auto"/>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（一）</w:t>
      </w: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深化习近平法治思想学习，牢固树立法治思想</w:t>
      </w:r>
    </w:p>
    <w:p w14:paraId="70DD73C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认真落实国家工作人员学法用法制度，抓住领导干部这个“关键少数”市局党组中心组</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开展了习近平法治思想专题学习，并</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组织学习了《中国共产党纪律检查委员会工作条例》《福建省行政规范性文件备案审查办法》</w:t>
      </w:r>
      <w:r>
        <w:rPr>
          <w:rFonts w:hint="eastAsia" w:ascii="仿宋_GB2312" w:eastAsia="仿宋_GB2312"/>
          <w:sz w:val="32"/>
          <w:szCs w:val="32"/>
        </w:rPr>
        <w:t>《市场监督管理行政执法责任制规定》</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《福州市“马上就办、真抓实干”若干规定》等规章和党内法规。疫情之下，加强线上学习教育模式，拓宽党员意识形态教育载体，组建2个青年理论学习小组；组</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织干部参</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加药品法治云课堂</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、“数字时代的计量”讲座</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组织扫黑除恶治乱暨执法稽查业务视频培训；</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联合省医疗器械行业协会举办《医疗器械监督管理条例》及相关法规线上培训班</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等，确保每名执法人员平均法律及专业知识培训时长达</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60学时以上。</w:t>
      </w:r>
    </w:p>
    <w:p w14:paraId="69E2B570">
      <w:pPr>
        <w:pStyle w:val="2"/>
        <w:rPr>
          <w:rFonts w:hint="default"/>
          <w:lang w:val="en-US" w:eastAsia="zh-CN"/>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认真履行党政主要负责人推进法治建设第一责任人职责，将述法情况纳入年终述职内容，将法治建设情况纳入年终绩效考核内容。今年行政应诉案件8起，开庭案件均有相关局领导出庭应诉，机关负责人出庭应诉率100%。目前，未有败诉案件。收到检察建议书2份，均按时限及时整改。</w:t>
      </w:r>
    </w:p>
    <w:p w14:paraId="6FCFC89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pPr>
      <w:r>
        <w:rPr>
          <w:rFonts w:hint="default"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（二）</w:t>
      </w:r>
      <w:r>
        <w:rPr>
          <w:rFonts w:hint="eastAsia" w:ascii="楷体_GB2312" w:hAnsi="楷体_GB2312" w:eastAsia="楷体_GB2312" w:cs="楷体_GB2312"/>
          <w:b/>
          <w:bCs/>
          <w:sz w:val="32"/>
          <w:szCs w:val="32"/>
          <w:lang w:eastAsia="zh-CN"/>
        </w:rPr>
        <w:t>优化法治化营商环境，激发市场主体活力</w:t>
      </w:r>
    </w:p>
    <w:p w14:paraId="14438D7B">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lang w:eastAsia="zh-CN"/>
        </w:rPr>
      </w:pPr>
      <w:r>
        <w:rPr>
          <w:rFonts w:hint="eastAsia" w:ascii="仿宋_GB2312" w:eastAsia="仿宋_GB2312" w:cs="仿宋_GB2312"/>
          <w:sz w:val="32"/>
          <w:szCs w:val="32"/>
          <w:lang w:eastAsia="zh-CN"/>
        </w:rPr>
        <w:t>推进企业登记注册便利化、深化“双随机、一公开”监管和信用监管、落实公平竞争审查制度等深化商事制度改革方面成效明显，为我市获国务院办公厅督查激励作出积极贡献。组织编写的《福州市2021年度市场主体发展分析报告》，获省委常委、市委书记林宝金肯定。</w:t>
      </w:r>
    </w:p>
    <w:p w14:paraId="5EA6B615">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eastAsia="仿宋_GB2312" w:cs="仿宋_GB2312"/>
          <w:color w:val="auto"/>
          <w:sz w:val="32"/>
          <w:szCs w:val="32"/>
          <w:lang w:eastAsia="zh-CN"/>
        </w:rPr>
      </w:pPr>
      <w:r>
        <w:rPr>
          <w:rFonts w:hint="eastAsia" w:ascii="仿宋_GB2312" w:eastAsia="仿宋_GB2312" w:cs="仿宋_GB2312"/>
          <w:sz w:val="32"/>
          <w:szCs w:val="32"/>
          <w:lang w:eastAsia="zh-CN"/>
        </w:rPr>
        <w:t>在全省率先推行“一业一证、一证准营”融合“先证后审+电子化综合许可”改革，全市企业开办时间压缩至3个工作小时内，企业设立登记和公章刻制并联办理时间压缩至2个工作小时内，走在了全国前列。截至2022年11月底，全市实有各类市场主体达100.06万户，同比增长10.95%。为缓解企业疫情影响，出台服务市场主体纾困解难“十条措施”，在全省首个全域范围开展市场主体歇业试点，成功办理首件商标专用权质权登记业务。全市检定疫情防控用计量器具约2836台件，免收检定费用173.5万余元。</w:t>
      </w:r>
      <w:r>
        <w:rPr>
          <w:rFonts w:hint="eastAsia" w:ascii="仿宋_GB2312" w:eastAsia="仿宋_GB2312" w:cs="仿宋_GB2312"/>
          <w:color w:val="auto"/>
          <w:sz w:val="32"/>
          <w:szCs w:val="32"/>
          <w:lang w:eastAsia="zh-CN"/>
        </w:rPr>
        <w:t>支持鼓励药品、医疗器械经营企业兼并整合、做大做强，简化审批事项，减免许可现场审查验收</w:t>
      </w:r>
      <w:r>
        <w:rPr>
          <w:rFonts w:hint="eastAsia" w:ascii="仿宋_GB2312" w:eastAsia="仿宋_GB2312" w:cs="仿宋_GB2312"/>
          <w:color w:val="auto"/>
          <w:sz w:val="32"/>
          <w:szCs w:val="32"/>
          <w:lang w:val="en-US" w:eastAsia="zh-CN"/>
        </w:rPr>
        <w:t>516</w:t>
      </w:r>
      <w:r>
        <w:rPr>
          <w:rFonts w:hint="eastAsia" w:ascii="仿宋_GB2312" w:eastAsia="仿宋_GB2312" w:cs="仿宋_GB2312"/>
          <w:color w:val="auto"/>
          <w:sz w:val="32"/>
          <w:szCs w:val="32"/>
          <w:lang w:eastAsia="zh-CN"/>
        </w:rPr>
        <w:t>家次。</w:t>
      </w:r>
    </w:p>
    <w:p w14:paraId="1B05C41F">
      <w:pPr>
        <w:pStyle w:val="2"/>
        <w:rPr>
          <w:rFonts w:hint="eastAsia" w:ascii="仿宋_GB2312" w:eastAsia="仿宋_GB2312" w:cs="仿宋_GB2312" w:hAnsiTheme="minorHAnsi"/>
          <w:kern w:val="2"/>
          <w:sz w:val="32"/>
          <w:szCs w:val="32"/>
          <w:lang w:val="en-US" w:eastAsia="zh-CN" w:bidi="ar-SA"/>
        </w:rPr>
      </w:pPr>
      <w:r>
        <w:rPr>
          <w:rFonts w:hint="eastAsia" w:ascii="仿宋_GB2312" w:eastAsia="仿宋_GB2312" w:cs="仿宋_GB2312" w:hAnsiTheme="minorHAnsi"/>
          <w:kern w:val="2"/>
          <w:sz w:val="32"/>
          <w:szCs w:val="32"/>
          <w:lang w:val="en-US" w:eastAsia="zh-CN" w:bidi="ar-SA"/>
        </w:rPr>
        <w:t>印发《关于进一步加强公平竞争审查工作的通知》（榕公平竞争办〔2022〕6号），要求各级行政机关，要从推动全国统一大市场高质量建设的高度重视公平竞争审查工作，委托第三方评估机构开展为期2个月的市直机关单位规范性文件第三方评估工作，并将结果向市直各有关单位进行了通报。对省市监局通报的违反公平竞争审查制度的7件文件，通报相关制定单位予以整改。2022年度各县（市）区、市直各相关部门自查文件490余件，清理存量文件16件，其中：废止11件，修订5件。</w:t>
      </w:r>
    </w:p>
    <w:p w14:paraId="4536587F">
      <w:pPr>
        <w:pStyle w:val="5"/>
        <w:ind w:firstLine="643" w:firstLineChars="200"/>
        <w:rPr>
          <w:rFonts w:hint="eastAsia"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（三）助推产业创新发展，保障社会高质量发展</w:t>
      </w:r>
    </w:p>
    <w:p w14:paraId="330F8221">
      <w:pPr>
        <w:numPr>
          <w:ilvl w:val="0"/>
          <w:numId w:val="0"/>
        </w:numPr>
        <w:ind w:firstLine="640" w:firstLineChars="200"/>
        <w:rPr>
          <w:rFonts w:hint="eastAsia" w:asci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我市入选首批国家知识产权强市建设示范城市，</w:t>
      </w:r>
      <w:r>
        <w:rPr>
          <w:rFonts w:hint="eastAsia" w:ascii="仿宋_GB2312" w:hAnsi="仿宋_GB2312" w:eastAsia="仿宋_GB2312" w:cs="仿宋_GB2312"/>
          <w:sz w:val="32"/>
          <w:szCs w:val="32"/>
        </w:rPr>
        <w:t>知识产权工作正式跻身全国第一方阵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得到了省委罗东川副书记和市委林宝金书记批示肯定，并获市政府通报表扬。</w:t>
      </w:r>
      <w:r>
        <w:rPr>
          <w:rFonts w:hint="eastAsia" w:ascii="仿宋_GB2312" w:hAnsi="仿宋_GB2312" w:eastAsia="仿宋_GB2312" w:cs="仿宋_GB2312"/>
          <w:color w:val="auto"/>
          <w:kern w:val="2"/>
          <w:sz w:val="32"/>
          <w:szCs w:val="32"/>
          <w:shd w:val="clear" w:color="auto" w:fill="FFFFFF"/>
        </w:rPr>
        <w:t>鼓楼区、闽侯县</w:t>
      </w:r>
      <w:r>
        <w:rPr>
          <w:rFonts w:hint="eastAsia" w:ascii="仿宋_GB2312" w:hAnsi="仿宋_GB2312" w:eastAsia="仿宋_GB2312" w:cs="仿宋_GB2312"/>
          <w:color w:val="auto"/>
          <w:kern w:val="2"/>
          <w:sz w:val="32"/>
          <w:szCs w:val="32"/>
          <w:shd w:val="clear" w:color="auto" w:fill="FFFFFF"/>
          <w:lang w:eastAsia="zh-CN"/>
        </w:rPr>
        <w:t>获评</w:t>
      </w:r>
      <w:r>
        <w:rPr>
          <w:rFonts w:hint="eastAsia" w:ascii="仿宋_GB2312" w:hAnsi="仿宋_GB2312" w:eastAsia="仿宋_GB2312" w:cs="仿宋_GB2312"/>
          <w:color w:val="auto"/>
          <w:kern w:val="2"/>
          <w:sz w:val="32"/>
          <w:szCs w:val="32"/>
          <w:shd w:val="clear" w:color="auto" w:fill="FFFFFF"/>
        </w:rPr>
        <w:t>首批国家知识产权强县建设示范县</w:t>
      </w:r>
      <w:r>
        <w:rPr>
          <w:rFonts w:hint="eastAsia" w:ascii="仿宋_GB2312" w:hAnsi="仿宋_GB2312" w:eastAsia="仿宋_GB2312" w:cs="仿宋_GB2312"/>
          <w:color w:val="auto"/>
          <w:kern w:val="2"/>
          <w:sz w:val="32"/>
          <w:szCs w:val="32"/>
          <w:shd w:val="clear" w:color="auto" w:fill="FFFFFF"/>
          <w:lang w:eastAsia="zh-CN"/>
        </w:rPr>
        <w:t>、</w:t>
      </w:r>
      <w:r>
        <w:rPr>
          <w:rFonts w:hint="eastAsia" w:ascii="仿宋_GB2312" w:hAnsi="仿宋_GB2312" w:eastAsia="仿宋_GB2312" w:cs="仿宋_GB2312"/>
          <w:color w:val="auto"/>
          <w:kern w:val="2"/>
          <w:sz w:val="32"/>
          <w:szCs w:val="32"/>
          <w:shd w:val="clear" w:color="auto" w:fill="FFFFFF"/>
        </w:rPr>
        <w:t>仓山区</w:t>
      </w:r>
      <w:r>
        <w:rPr>
          <w:rFonts w:hint="eastAsia" w:ascii="仿宋_GB2312" w:hAnsi="仿宋_GB2312" w:eastAsia="仿宋_GB2312" w:cs="仿宋_GB2312"/>
          <w:color w:val="auto"/>
          <w:kern w:val="2"/>
          <w:sz w:val="32"/>
          <w:szCs w:val="32"/>
          <w:shd w:val="clear" w:color="auto" w:fill="FFFFFF"/>
          <w:lang w:eastAsia="zh-CN"/>
        </w:rPr>
        <w:t>获评</w:t>
      </w:r>
      <w:r>
        <w:rPr>
          <w:rFonts w:hint="eastAsia" w:ascii="仿宋_GB2312" w:hAnsi="仿宋_GB2312" w:eastAsia="仿宋_GB2312" w:cs="仿宋_GB2312"/>
          <w:color w:val="auto"/>
          <w:kern w:val="2"/>
          <w:sz w:val="32"/>
          <w:szCs w:val="32"/>
          <w:shd w:val="clear" w:color="auto" w:fill="FFFFFF"/>
        </w:rPr>
        <w:t>国家知识产权强县建设试点县，高新区</w:t>
      </w:r>
      <w:r>
        <w:rPr>
          <w:rFonts w:hint="eastAsia" w:ascii="仿宋_GB2312" w:hAnsi="仿宋_GB2312" w:eastAsia="仿宋_GB2312" w:cs="仿宋_GB2312"/>
          <w:color w:val="auto"/>
          <w:kern w:val="2"/>
          <w:sz w:val="32"/>
          <w:szCs w:val="32"/>
          <w:shd w:val="clear" w:color="auto" w:fill="FFFFFF"/>
          <w:lang w:eastAsia="zh-CN"/>
        </w:rPr>
        <w:t>获评</w:t>
      </w:r>
      <w:r>
        <w:rPr>
          <w:rFonts w:hint="eastAsia" w:ascii="仿宋_GB2312" w:hAnsi="仿宋_GB2312" w:eastAsia="仿宋_GB2312" w:cs="仿宋_GB2312"/>
          <w:color w:val="auto"/>
          <w:kern w:val="2"/>
          <w:sz w:val="32"/>
          <w:szCs w:val="32"/>
          <w:shd w:val="clear" w:color="auto" w:fill="FFFFFF"/>
        </w:rPr>
        <w:t>知识产权强国建设试点园区</w:t>
      </w:r>
      <w:r>
        <w:rPr>
          <w:rFonts w:hint="eastAsia" w:ascii="仿宋_GB2312" w:hAnsi="仿宋_GB2312" w:eastAsia="仿宋_GB2312" w:cs="仿宋_GB2312"/>
          <w:color w:val="auto"/>
          <w:kern w:val="2"/>
          <w:sz w:val="32"/>
          <w:szCs w:val="32"/>
          <w:shd w:val="clear" w:color="auto" w:fill="FFFFFF"/>
          <w:lang w:eastAsia="zh-CN"/>
        </w:rPr>
        <w:t>，</w:t>
      </w:r>
      <w:r>
        <w:rPr>
          <w:rFonts w:hint="eastAsia" w:ascii="仿宋_GB2312" w:eastAsia="仿宋_GB2312" w:cs="仿宋_GB2312" w:hAnsiTheme="minorHAnsi"/>
          <w:kern w:val="2"/>
          <w:sz w:val="32"/>
          <w:szCs w:val="32"/>
          <w:lang w:val="en-US" w:eastAsia="zh-CN" w:bidi="ar-SA"/>
        </w:rPr>
        <w:t>实现国家知识产权强市建设示范城市、示范（试点）县和试点园区全覆盖。</w:t>
      </w:r>
      <w:r>
        <w:rPr>
          <w:rFonts w:hint="eastAsia" w:ascii="仿宋_GB2312" w:eastAsia="仿宋_GB2312" w:cs="仿宋_GB2312"/>
          <w:sz w:val="32"/>
          <w:szCs w:val="32"/>
          <w:lang w:eastAsia="zh-CN"/>
        </w:rPr>
        <w:t>福州市知识产权局获评全国知识产权保护工作成绩突出集体，得到国家知识产权局和公安部联合通报表扬。</w:t>
      </w:r>
    </w:p>
    <w:p w14:paraId="57FEEEE2">
      <w:pPr>
        <w:numPr>
          <w:ilvl w:val="0"/>
          <w:numId w:val="0"/>
        </w:numPr>
        <w:ind w:firstLine="640" w:firstLineChars="200"/>
        <w:rPr>
          <w:rFonts w:hint="eastAsia" w:ascii="仿宋_GB2312" w:eastAsia="仿宋_GB2312" w:cs="仿宋_GB2312"/>
          <w:color w:val="auto"/>
          <w:sz w:val="32"/>
          <w:szCs w:val="32"/>
          <w:lang w:eastAsia="zh-CN"/>
        </w:rPr>
      </w:pPr>
      <w:r>
        <w:rPr>
          <w:rFonts w:hint="eastAsia" w:ascii="仿宋_GB2312" w:eastAsia="仿宋_GB2312" w:cs="仿宋_GB2312"/>
          <w:kern w:val="2"/>
          <w:sz w:val="32"/>
          <w:szCs w:val="32"/>
          <w:lang w:val="en-US" w:eastAsia="zh-CN" w:bidi="ar-SA"/>
        </w:rPr>
        <w:t>今年，我局</w:t>
      </w:r>
      <w:r>
        <w:rPr>
          <w:rFonts w:hint="eastAsia" w:ascii="仿宋_GB2312" w:eastAsia="仿宋_GB2312" w:cs="仿宋_GB2312" w:hAnsiTheme="minorHAnsi"/>
          <w:kern w:val="2"/>
          <w:sz w:val="32"/>
          <w:szCs w:val="32"/>
          <w:lang w:val="en-US" w:eastAsia="zh-CN" w:bidi="ar-SA"/>
        </w:rPr>
        <w:t>牵头出台《关于进一步推进福州市知识产权协同保护工作实施意见》，会同多部门共建福州知识产权协同保护中心并落地福州法务区，全面推进知识产权“全链条”保护。2022年推荐7项专利参评第二十四届中国专利奖。</w:t>
      </w:r>
      <w:r>
        <w:rPr>
          <w:rFonts w:hint="eastAsia" w:ascii="仿宋_GB2312" w:eastAsia="仿宋_GB2312" w:cs="仿宋_GB2312" w:hAnsiTheme="minorHAnsi"/>
          <w:color w:val="auto"/>
          <w:kern w:val="2"/>
          <w:sz w:val="32"/>
          <w:szCs w:val="32"/>
          <w:lang w:val="en-US" w:eastAsia="zh-CN" w:bidi="ar-SA"/>
        </w:rPr>
        <w:t>2022年1-10月，全市专利授权量24029件，有效发明专利拥有量为24476件，连续十二年领跑全省。知识产权成果高效运用，全市企业通过知识产权质押贷款15.63亿元。专利保险工作有序推进，全市累计489家企业为4330件专利投保</w:t>
      </w:r>
      <w:r>
        <w:rPr>
          <w:rFonts w:hint="eastAsia" w:ascii="仿宋_GB2312" w:hAnsi="仿宋_GB2312" w:eastAsia="仿宋_GB2312" w:cs="仿宋_GB2312"/>
          <w:color w:val="auto"/>
          <w:sz w:val="32"/>
          <w:szCs w:val="32"/>
        </w:rPr>
        <w:t>，保险保障金额达近6000万元，投保企业数、保险保障金额均居全省</w:t>
      </w:r>
      <w:r>
        <w:rPr>
          <w:rFonts w:hint="eastAsia" w:ascii="仿宋_GB2312" w:hAnsi="仿宋_GB2312" w:eastAsia="仿宋_GB2312" w:cs="仿宋_GB2312"/>
          <w:color w:val="auto"/>
          <w:sz w:val="32"/>
          <w:szCs w:val="32"/>
          <w:lang w:val="en-US" w:eastAsia="zh-CN"/>
        </w:rPr>
        <w:t>第一、</w:t>
      </w:r>
      <w:r>
        <w:rPr>
          <w:rFonts w:hint="eastAsia" w:ascii="仿宋_GB2312" w:hAnsi="仿宋_GB2312" w:eastAsia="仿宋_GB2312" w:cs="仿宋_GB2312"/>
          <w:color w:val="auto"/>
          <w:sz w:val="32"/>
          <w:szCs w:val="32"/>
        </w:rPr>
        <w:t>全国前列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累计为334家次企业下达保费补贴近150万元</w:t>
      </w:r>
      <w:r>
        <w:rPr>
          <w:rFonts w:hint="eastAsia" w:ascii="仿宋_GB2312" w:hAnsi="仿宋_GB2312" w:eastAsia="仿宋_GB2312" w:cs="仿宋_GB2312"/>
          <w:color w:val="auto"/>
          <w:sz w:val="32"/>
          <w:szCs w:val="32"/>
          <w:lang w:eastAsia="zh-CN"/>
        </w:rPr>
        <w:t>。联合“知创福建”公共服务平台开展2022年度企业“知识产权贯标+专利导航”项目，促进企业灵活运用知识产权制度，提升核心竞争力，53家企业通过专利导航项目验收，共下拨知识产权扶持奖励资金计1949.77万元，助力企业纾困解难。</w:t>
      </w:r>
      <w:r>
        <w:rPr>
          <w:rFonts w:hint="eastAsia" w:ascii="仿宋_GB2312" w:eastAsia="仿宋_GB2312" w:cs="仿宋_GB2312"/>
          <w:color w:val="auto"/>
          <w:sz w:val="32"/>
          <w:szCs w:val="32"/>
          <w:lang w:eastAsia="zh-CN"/>
        </w:rPr>
        <w:t>推进质量基础设施“一站式”服务，全市共有273家企业注册“闽质通”平台，帮助企业解决技术需求4</w:t>
      </w:r>
      <w:r>
        <w:rPr>
          <w:rFonts w:hint="eastAsia" w:ascii="仿宋_GB2312" w:eastAsia="仿宋_GB2312" w:cs="仿宋_GB2312"/>
          <w:color w:val="auto"/>
          <w:sz w:val="32"/>
          <w:szCs w:val="32"/>
          <w:lang w:val="en-US" w:eastAsia="zh-CN"/>
        </w:rPr>
        <w:t>3</w:t>
      </w:r>
      <w:r>
        <w:rPr>
          <w:rFonts w:hint="eastAsia" w:ascii="仿宋_GB2312" w:eastAsia="仿宋_GB2312" w:cs="仿宋_GB2312"/>
          <w:color w:val="auto"/>
          <w:sz w:val="32"/>
          <w:szCs w:val="32"/>
          <w:lang w:eastAsia="zh-CN"/>
        </w:rPr>
        <w:t>项。</w:t>
      </w:r>
    </w:p>
    <w:p w14:paraId="0494F0A0">
      <w:pPr>
        <w:pStyle w:val="2"/>
        <w:rPr>
          <w:rFonts w:hint="default"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w:t>
      </w:r>
      <w:r>
        <w:rPr>
          <w:rFonts w:hint="default"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四</w:t>
      </w:r>
      <w:r>
        <w:rPr>
          <w:rFonts w:hint="eastAsia"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w:t>
      </w:r>
      <w:r>
        <w:rPr>
          <w:rFonts w:hint="default"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安全监管坚持四个最严，维护社会安定稳定</w:t>
      </w:r>
    </w:p>
    <w:p w14:paraId="3E906BC4">
      <w:pPr>
        <w:pStyle w:val="5"/>
        <w:ind w:firstLine="643" w:firstLineChars="200"/>
        <w:rPr>
          <w:rFonts w:hint="eastAsia" w:ascii="仿宋_GB2312" w:eastAsia="仿宋_GB2312" w:cs="仿宋_GB2312" w:hAnsiTheme="minorHAnsi"/>
          <w:kern w:val="2"/>
          <w:sz w:val="32"/>
          <w:szCs w:val="32"/>
          <w:lang w:val="en-US" w:eastAsia="zh-CN" w:bidi="ar-SA"/>
        </w:rPr>
      </w:pPr>
      <w:r>
        <w:rPr>
          <w:rFonts w:hint="eastAsia" w:ascii="仿宋_GB2312" w:eastAsia="仿宋_GB2312" w:cs="仿宋_GB2312"/>
          <w:b/>
          <w:bCs/>
          <w:kern w:val="2"/>
          <w:sz w:val="32"/>
          <w:szCs w:val="32"/>
          <w:lang w:val="en-US" w:eastAsia="zh-CN" w:bidi="ar-SA"/>
        </w:rPr>
        <w:t>一是</w:t>
      </w:r>
      <w:r>
        <w:rPr>
          <w:rFonts w:hint="eastAsia" w:ascii="仿宋_GB2312" w:eastAsia="仿宋_GB2312" w:cs="仿宋_GB2312" w:hAnsiTheme="minorHAnsi"/>
          <w:b/>
          <w:bCs/>
          <w:kern w:val="2"/>
          <w:sz w:val="32"/>
          <w:szCs w:val="32"/>
          <w:lang w:val="en-US" w:eastAsia="zh-CN" w:bidi="ar-SA"/>
        </w:rPr>
        <w:t>坚持从严从实，疫情防控坚决有力。</w:t>
      </w:r>
      <w:r>
        <w:rPr>
          <w:rFonts w:hint="eastAsia" w:ascii="仿宋_GB2312" w:eastAsia="仿宋_GB2312" w:cs="仿宋_GB2312" w:hAnsiTheme="minorHAnsi"/>
          <w:kern w:val="2"/>
          <w:sz w:val="32"/>
          <w:szCs w:val="32"/>
          <w:lang w:val="en-US" w:eastAsia="zh-CN" w:bidi="ar-SA"/>
        </w:rPr>
        <w:t>全市系统共检查进口冷链食品经营主体2115家次，跟踪确认5557个进口冷链食品货柜流向，核查发现“应进不进”违法线索移送公安查处5起，核查处置涉阳进口冷链食品16起，进口冷链食品疫情防控工作成效得到市政府领导的批示肯定。督导零售药店严格落实“四类药品”销售实名登记制度，审核通过“四类药品”数据约511万条，对4家承担防疫物资储备的经营企业开展全面现场检查。抽调160名干部下沉基层，协助一线做好全民防疫。</w:t>
      </w:r>
    </w:p>
    <w:p w14:paraId="36E60E9F">
      <w:pPr>
        <w:pStyle w:val="5"/>
        <w:ind w:firstLine="643" w:firstLineChars="200"/>
        <w:rPr>
          <w:rFonts w:hint="eastAsia" w:ascii="仿宋_GB2312" w:eastAsia="仿宋_GB2312" w:cs="仿宋_GB2312"/>
          <w:kern w:val="2"/>
          <w:sz w:val="32"/>
          <w:szCs w:val="32"/>
          <w:lang w:val="en-US" w:eastAsia="zh-CN" w:bidi="ar-SA"/>
        </w:rPr>
      </w:pPr>
      <w:r>
        <w:rPr>
          <w:rFonts w:hint="eastAsia" w:ascii="仿宋_GB2312" w:eastAsia="仿宋_GB2312" w:cs="仿宋_GB2312"/>
          <w:b/>
          <w:bCs/>
          <w:kern w:val="2"/>
          <w:sz w:val="32"/>
          <w:szCs w:val="32"/>
          <w:lang w:val="en-US" w:eastAsia="zh-CN" w:bidi="ar-SA"/>
        </w:rPr>
        <w:t>二是严守食品安全底线。</w:t>
      </w:r>
      <w:r>
        <w:rPr>
          <w:rFonts w:hint="eastAsia" w:ascii="仿宋_GB2312" w:eastAsia="仿宋_GB2312" w:cs="仿宋_GB2312"/>
          <w:kern w:val="2"/>
          <w:sz w:val="32"/>
          <w:szCs w:val="32"/>
          <w:lang w:val="en-US" w:eastAsia="zh-CN" w:bidi="ar-SA"/>
        </w:rPr>
        <w:t>我市食品安全满意率连续4年居全省第一。研究出台《福州市进一步加强食用植物油生产经营监管工作若干措施》。部署开展网络餐饮专项治理行动，积极推广“食安封签”，立案查处网络餐饮案件395起。今年以来，完成食品安全监督抽检32122批次，合格率97.9%。</w:t>
      </w:r>
    </w:p>
    <w:p w14:paraId="7F368726">
      <w:pPr>
        <w:pStyle w:val="5"/>
        <w:ind w:firstLine="643" w:firstLineChars="200"/>
        <w:rPr>
          <w:rFonts w:hint="eastAsia" w:ascii="仿宋_GB2312" w:eastAsia="仿宋_GB2312" w:cs="仿宋_GB2312"/>
          <w:kern w:val="2"/>
          <w:sz w:val="32"/>
          <w:szCs w:val="32"/>
          <w:lang w:val="en-US" w:eastAsia="zh-CN" w:bidi="ar-SA"/>
        </w:rPr>
      </w:pPr>
      <w:r>
        <w:rPr>
          <w:rFonts w:hint="eastAsia" w:ascii="仿宋_GB2312" w:eastAsia="仿宋_GB2312" w:cs="仿宋_GB2312"/>
          <w:b/>
          <w:bCs/>
          <w:kern w:val="2"/>
          <w:sz w:val="32"/>
          <w:szCs w:val="32"/>
          <w:lang w:val="en-US" w:eastAsia="zh-CN" w:bidi="ar-SA"/>
        </w:rPr>
        <w:t>三是扎紧药械安全红线。</w:t>
      </w:r>
      <w:r>
        <w:rPr>
          <w:rFonts w:hint="eastAsia" w:ascii="仿宋_GB2312" w:eastAsia="仿宋_GB2312" w:cs="仿宋_GB2312"/>
          <w:kern w:val="2"/>
          <w:sz w:val="32"/>
          <w:szCs w:val="32"/>
          <w:lang w:val="en-US" w:eastAsia="zh-CN" w:bidi="ar-SA"/>
        </w:rPr>
        <w:t>深入开展护“苗”行动，将疫苗质量监管纳入我市为民办实事项目。持续加强对药械重点企业、重点品种，重点环节的监管，我市在药品安全满意率指标考核中连续4年位列全省第一档。今年来，检查医疗器械经营企业1719家、使用单位982家、第一类生产企业26家次，立案60起。</w:t>
      </w:r>
    </w:p>
    <w:p w14:paraId="3F980806">
      <w:pPr>
        <w:pStyle w:val="5"/>
        <w:ind w:firstLine="643" w:firstLineChars="200"/>
        <w:rPr>
          <w:rFonts w:hint="eastAsia" w:ascii="仿宋_GB2312" w:eastAsia="仿宋_GB2312" w:cs="仿宋_GB2312"/>
          <w:kern w:val="2"/>
          <w:sz w:val="32"/>
          <w:szCs w:val="32"/>
          <w:lang w:val="en-US" w:eastAsia="zh-CN" w:bidi="ar-SA"/>
        </w:rPr>
      </w:pPr>
      <w:r>
        <w:rPr>
          <w:rFonts w:hint="eastAsia" w:ascii="仿宋_GB2312" w:eastAsia="仿宋_GB2312" w:cs="仿宋_GB2312"/>
          <w:b/>
          <w:bCs/>
          <w:kern w:val="2"/>
          <w:sz w:val="32"/>
          <w:szCs w:val="32"/>
          <w:lang w:val="en-US" w:eastAsia="zh-CN" w:bidi="ar-SA"/>
        </w:rPr>
        <w:t>四是筑牢质量安全防线。</w:t>
      </w:r>
      <w:r>
        <w:rPr>
          <w:rFonts w:hint="eastAsia" w:ascii="仿宋_GB2312" w:eastAsia="仿宋_GB2312" w:cs="仿宋_GB2312"/>
          <w:kern w:val="2"/>
          <w:sz w:val="32"/>
          <w:szCs w:val="32"/>
          <w:lang w:val="en-US" w:eastAsia="zh-CN" w:bidi="ar-SA"/>
        </w:rPr>
        <w:t>深化“电梯物联网应用工程”建设，对接83家电梯厂家平台、10家第三方物联网平台，接入20088台电梯，相关经验做法得到烟台等城市先后借鉴推广。</w:t>
      </w:r>
    </w:p>
    <w:p w14:paraId="0D394692">
      <w:pPr>
        <w:pStyle w:val="5"/>
        <w:ind w:firstLine="643" w:firstLineChars="200"/>
        <w:rPr>
          <w:rFonts w:hint="eastAsia"/>
          <w:lang w:eastAsia="zh-CN"/>
        </w:rPr>
      </w:pPr>
      <w:r>
        <w:rPr>
          <w:rFonts w:hint="eastAsia" w:ascii="仿宋_GB2312" w:eastAsia="仿宋_GB2312" w:cs="仿宋_GB2312"/>
          <w:b/>
          <w:bCs/>
          <w:kern w:val="2"/>
          <w:sz w:val="32"/>
          <w:szCs w:val="32"/>
          <w:lang w:val="en-US" w:eastAsia="zh-CN" w:bidi="ar-SA"/>
        </w:rPr>
        <w:t>五是强化市场治理基线。</w:t>
      </w:r>
      <w:r>
        <w:rPr>
          <w:rFonts w:hint="eastAsia" w:ascii="仿宋_GB2312" w:eastAsia="仿宋_GB2312" w:cs="仿宋_GB2312"/>
          <w:kern w:val="2"/>
          <w:sz w:val="32"/>
          <w:szCs w:val="32"/>
          <w:lang w:val="en-US" w:eastAsia="zh-CN" w:bidi="ar-SA"/>
        </w:rPr>
        <w:t>深入推进“点题整治”、打击整治养老诈骗、2022民生领域案件查办“铁拳”行动等工作，全市系统共办结违法违规案件3922起，罚没金额8808.12万元。今年以来，全市共受理处置消费者诉求29.35万件，挽回经济损失3078.96万元。</w:t>
      </w:r>
    </w:p>
    <w:p w14:paraId="06B192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jc w:val="both"/>
        <w:textAlignment w:val="auto"/>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_GB2312" w:hAnsi="楷体_GB2312" w:eastAsia="楷体_GB2312" w:cs="楷体_GB2312"/>
          <w:b/>
          <w:bCs/>
          <w:i w:val="0"/>
          <w:iCs w:val="0"/>
          <w:caps w:val="0"/>
          <w:color w:val="000000" w:themeColor="text1"/>
          <w:spacing w:val="0"/>
          <w:sz w:val="32"/>
          <w:szCs w:val="32"/>
          <w:shd w:val="clear" w:fill="FFFFFF"/>
          <w:lang w:val="en-US" w:eastAsia="zh-CN"/>
          <w14:textFill>
            <w14:solidFill>
              <w14:schemeClr w14:val="tx1"/>
            </w14:solidFill>
          </w14:textFill>
        </w:rPr>
        <w:t>五</w:t>
      </w: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健全制度，规范行政权力运行</w:t>
      </w:r>
    </w:p>
    <w:p w14:paraId="39902735">
      <w:pPr>
        <w:keepNext w:val="0"/>
        <w:keepLines w:val="0"/>
        <w:pageBreakBefore w:val="0"/>
        <w:widowControl/>
        <w:kinsoku/>
        <w:wordWrap/>
        <w:overflowPunct/>
        <w:topLinePunct w:val="0"/>
        <w:autoSpaceDE/>
        <w:autoSpaceDN/>
        <w:bidi w:val="0"/>
        <w:adjustRightInd/>
        <w:snapToGrid/>
        <w:spacing w:line="600" w:lineRule="exact"/>
        <w:ind w:left="0" w:firstLine="645"/>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sz w:val="32"/>
          <w:szCs w:val="32"/>
        </w:rPr>
        <w:t>认真落实行政执法</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三项制度</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及时更新权责清单、</w:t>
      </w:r>
      <w:r>
        <w:rPr>
          <w:rFonts w:hint="eastAsia" w:ascii="仿宋_GB2312" w:hAnsi="仿宋_GB2312" w:eastAsia="仿宋_GB2312" w:cs="仿宋_GB2312"/>
          <w:b w:val="0"/>
          <w:bCs/>
          <w:color w:val="000000" w:themeColor="text1"/>
          <w:sz w:val="32"/>
          <w:szCs w:val="32"/>
          <w14:textFill>
            <w14:solidFill>
              <w14:schemeClr w14:val="tx1"/>
            </w14:solidFill>
          </w14:textFill>
        </w:rPr>
        <w:t>行政执法事项清单、随机抽查事项清单、音像记录事项清单、行政执法流程图、法制审核流程图等</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，并</w:t>
      </w:r>
      <w:r>
        <w:rPr>
          <w:rFonts w:hint="eastAsia" w:ascii="仿宋_GB2312" w:hAnsi="仿宋_GB2312" w:eastAsia="仿宋_GB2312" w:cs="仿宋_GB2312"/>
          <w:b w:val="0"/>
          <w:bCs/>
          <w:color w:val="000000" w:themeColor="text1"/>
          <w:sz w:val="32"/>
          <w:szCs w:val="32"/>
          <w14:textFill>
            <w14:solidFill>
              <w14:schemeClr w14:val="tx1"/>
            </w14:solidFill>
          </w14:textFill>
        </w:rPr>
        <w:t>在</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我</w:t>
      </w:r>
      <w:r>
        <w:rPr>
          <w:rFonts w:hint="eastAsia" w:ascii="仿宋_GB2312" w:hAnsi="仿宋_GB2312" w:eastAsia="仿宋_GB2312" w:cs="仿宋_GB2312"/>
          <w:b w:val="0"/>
          <w:bCs/>
          <w:color w:val="000000" w:themeColor="text1"/>
          <w:sz w:val="32"/>
          <w:szCs w:val="32"/>
          <w14:textFill>
            <w14:solidFill>
              <w14:schemeClr w14:val="tx1"/>
            </w14:solidFill>
          </w14:textFill>
        </w:rPr>
        <w:t>局门户网站、国家企业信用信息公示系统（福建）公示平台、市政府统一行政执法公示平台上公示。严格按照时限通过公示平台公示</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行政许可、</w:t>
      </w:r>
      <w:r>
        <w:rPr>
          <w:rFonts w:hint="eastAsia" w:ascii="仿宋_GB2312" w:hAnsi="仿宋_GB2312" w:eastAsia="仿宋_GB2312" w:cs="仿宋_GB2312"/>
          <w:b w:val="0"/>
          <w:bCs/>
          <w:color w:val="000000" w:themeColor="text1"/>
          <w:sz w:val="32"/>
          <w:szCs w:val="32"/>
          <w14:textFill>
            <w14:solidFill>
              <w14:schemeClr w14:val="tx1"/>
            </w14:solidFill>
          </w14:textFill>
        </w:rPr>
        <w:t>行政处罚等信息</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，截至目前，</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已</w:t>
      </w:r>
      <w:r>
        <w:rPr>
          <w:rFonts w:hint="eastAsia" w:ascii="仿宋_GB2312" w:hAnsi="仿宋_GB2312" w:eastAsia="仿宋_GB2312" w:cs="仿宋_GB2312"/>
          <w:b w:val="0"/>
          <w:bCs/>
          <w:color w:val="000000" w:themeColor="text1"/>
          <w:sz w:val="32"/>
          <w:szCs w:val="32"/>
          <w14:textFill>
            <w14:solidFill>
              <w14:schemeClr w14:val="tx1"/>
            </w14:solidFill>
          </w14:textFill>
        </w:rPr>
        <w:t>公示行政许可信息</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30674</w:t>
      </w:r>
      <w:r>
        <w:rPr>
          <w:rFonts w:hint="eastAsia" w:ascii="仿宋_GB2312" w:hAnsi="仿宋_GB2312" w:eastAsia="仿宋_GB2312" w:cs="仿宋_GB2312"/>
          <w:b w:val="0"/>
          <w:bCs/>
          <w:color w:val="000000" w:themeColor="text1"/>
          <w:sz w:val="32"/>
          <w:szCs w:val="32"/>
          <w14:textFill>
            <w14:solidFill>
              <w14:schemeClr w14:val="tx1"/>
            </w14:solidFill>
          </w14:textFill>
        </w:rPr>
        <w:t>条、公示行政处罚信息</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2477</w:t>
      </w:r>
      <w:r>
        <w:rPr>
          <w:rFonts w:hint="eastAsia" w:ascii="仿宋_GB2312" w:hAnsi="仿宋_GB2312" w:eastAsia="仿宋_GB2312" w:cs="仿宋_GB2312"/>
          <w:b w:val="0"/>
          <w:bCs/>
          <w:color w:val="000000" w:themeColor="text1"/>
          <w:sz w:val="32"/>
          <w:szCs w:val="32"/>
          <w14:textFill>
            <w14:solidFill>
              <w14:schemeClr w14:val="tx1"/>
            </w14:solidFill>
          </w14:textFill>
        </w:rPr>
        <w:t>条。</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sz w:val="32"/>
          <w:szCs w:val="32"/>
        </w:rPr>
        <w:t>为各</w:t>
      </w:r>
      <w:r>
        <w:rPr>
          <w:rFonts w:hint="eastAsia" w:ascii="仿宋_GB2312" w:hAnsi="仿宋_GB2312" w:eastAsia="仿宋_GB2312" w:cs="仿宋_GB2312"/>
          <w:b w:val="0"/>
          <w:bCs w:val="0"/>
          <w:sz w:val="32"/>
          <w:szCs w:val="32"/>
          <w:lang w:eastAsia="zh-CN"/>
        </w:rPr>
        <w:t>部门</w:t>
      </w:r>
      <w:r>
        <w:rPr>
          <w:rFonts w:hint="eastAsia" w:ascii="仿宋_GB2312" w:hAnsi="仿宋_GB2312" w:eastAsia="仿宋_GB2312" w:cs="仿宋_GB2312"/>
          <w:b w:val="0"/>
          <w:bCs w:val="0"/>
          <w:sz w:val="32"/>
          <w:szCs w:val="32"/>
        </w:rPr>
        <w:t>配备执法记录仪共计134台</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落实音像记录设备和资料管理职责</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共</w:t>
      </w:r>
      <w:r>
        <w:rPr>
          <w:rFonts w:hint="eastAsia" w:ascii="仿宋_GB2312" w:hAnsi="仿宋_GB2312" w:eastAsia="仿宋_GB2312" w:cs="仿宋_GB2312"/>
          <w:b w:val="0"/>
          <w:bCs w:val="0"/>
          <w:sz w:val="32"/>
          <w:szCs w:val="32"/>
        </w:rPr>
        <w:t>集中存储执法视频资料</w:t>
      </w:r>
      <w:r>
        <w:rPr>
          <w:rFonts w:hint="eastAsia" w:ascii="仿宋_GB2312" w:hAnsi="仿宋_GB2312" w:eastAsia="仿宋_GB2312" w:cs="仿宋_GB2312"/>
          <w:b w:val="0"/>
          <w:bCs w:val="0"/>
          <w:sz w:val="32"/>
          <w:szCs w:val="32"/>
          <w:lang w:val="en-US" w:eastAsia="zh-CN"/>
        </w:rPr>
        <w:t>32</w:t>
      </w:r>
      <w:r>
        <w:rPr>
          <w:rFonts w:hint="eastAsia" w:ascii="仿宋_GB2312" w:hAnsi="仿宋_GB2312" w:eastAsia="仿宋_GB2312" w:cs="仿宋_GB2312"/>
          <w:b w:val="0"/>
          <w:bCs w:val="0"/>
          <w:sz w:val="32"/>
          <w:szCs w:val="32"/>
        </w:rPr>
        <w:t>条。</w:t>
      </w:r>
      <w:r>
        <w:rPr>
          <w:rFonts w:hint="eastAsia" w:ascii="仿宋_GB2312" w:hAnsi="仿宋_GB2312" w:eastAsia="仿宋_GB2312" w:cs="仿宋_GB2312"/>
          <w:b w:val="0"/>
          <w:bCs w:val="0"/>
          <w:sz w:val="32"/>
          <w:szCs w:val="32"/>
          <w:lang w:val="en-US" w:eastAsia="zh-CN"/>
        </w:rPr>
        <w:t>今年作出的58件</w:t>
      </w:r>
      <w:r>
        <w:rPr>
          <w:rFonts w:hint="eastAsia" w:ascii="仿宋_GB2312" w:hAnsi="仿宋_GB2312" w:eastAsia="仿宋_GB2312" w:cs="仿宋_GB2312"/>
          <w:b w:val="0"/>
          <w:bCs w:val="0"/>
          <w:sz w:val="32"/>
          <w:szCs w:val="32"/>
        </w:rPr>
        <w:t>重大</w:t>
      </w:r>
      <w:r>
        <w:rPr>
          <w:rFonts w:hint="eastAsia" w:ascii="仿宋_GB2312" w:hAnsi="仿宋_GB2312" w:eastAsia="仿宋_GB2312" w:cs="仿宋_GB2312"/>
          <w:b w:val="0"/>
          <w:bCs w:val="0"/>
          <w:kern w:val="0"/>
          <w:sz w:val="32"/>
          <w:szCs w:val="32"/>
        </w:rPr>
        <w:t>行政处罚、行政许可决定</w:t>
      </w:r>
      <w:r>
        <w:rPr>
          <w:rFonts w:hint="eastAsia" w:ascii="仿宋_GB2312" w:hAnsi="仿宋_GB2312" w:eastAsia="仿宋_GB2312" w:cs="仿宋_GB2312"/>
          <w:b w:val="0"/>
          <w:bCs w:val="0"/>
          <w:kern w:val="0"/>
          <w:sz w:val="32"/>
          <w:szCs w:val="32"/>
          <w:lang w:val="en-US" w:eastAsia="zh-CN"/>
        </w:rPr>
        <w:t>均由法制部门进行</w:t>
      </w:r>
      <w:r>
        <w:rPr>
          <w:rFonts w:hint="eastAsia" w:ascii="仿宋_GB2312" w:hAnsi="仿宋_GB2312" w:eastAsia="仿宋_GB2312" w:cs="仿宋_GB2312"/>
          <w:b w:val="0"/>
          <w:bCs w:val="0"/>
          <w:kern w:val="0"/>
          <w:sz w:val="32"/>
          <w:szCs w:val="32"/>
        </w:rPr>
        <w:t>审核，并提交局务会议集体讨论决定。</w:t>
      </w:r>
      <w:r>
        <w:rPr>
          <w:rFonts w:hint="eastAsia" w:ascii="仿宋_GB2312" w:hAnsi="仿宋_GB2312" w:eastAsia="仿宋_GB2312" w:cs="仿宋_GB2312"/>
          <w:b w:val="0"/>
          <w:bCs w:val="0"/>
          <w:kern w:val="0"/>
          <w:sz w:val="32"/>
          <w:szCs w:val="32"/>
          <w:lang w:eastAsia="zh-CN"/>
        </w:rPr>
        <w:t>制</w:t>
      </w:r>
      <w:r>
        <w:rPr>
          <w:rFonts w:hint="eastAsia" w:ascii="仿宋_GB2312" w:hAnsi="仿宋_GB2312" w:eastAsia="仿宋_GB2312" w:cs="仿宋_GB2312"/>
          <w:b w:val="0"/>
          <w:bCs w:val="0"/>
          <w:kern w:val="0"/>
          <w:sz w:val="32"/>
          <w:szCs w:val="32"/>
          <w:lang w:val="en-US" w:eastAsia="zh-CN"/>
        </w:rPr>
        <w:t>定印发《领导干部违法干预市场监管行政执法记录和处理暂行规定》，抓住领导干部“关键少数”，织密监督“制度</w:t>
      </w:r>
      <w:r>
        <w:rPr>
          <w:rFonts w:hint="eastAsia" w:ascii="仿宋_GB2312" w:hAnsi="仿宋_GB2312" w:eastAsia="仿宋_GB2312" w:cs="仿宋_GB2312"/>
          <w:b w:val="0"/>
          <w:bCs w:val="0"/>
          <w:kern w:val="0"/>
          <w:sz w:val="32"/>
          <w:szCs w:val="32"/>
          <w:lang w:eastAsia="zh-CN"/>
        </w:rPr>
        <w:t>笼子”，保障执法公平公正。</w:t>
      </w:r>
    </w:p>
    <w:p w14:paraId="6B2F3657">
      <w:pPr>
        <w:keepNext w:val="0"/>
        <w:keepLines w:val="0"/>
        <w:pageBreakBefore w:val="0"/>
        <w:kinsoku/>
        <w:wordWrap/>
        <w:overflowPunct/>
        <w:topLinePunct w:val="0"/>
        <w:autoSpaceDE/>
        <w:autoSpaceDN/>
        <w:bidi w:val="0"/>
        <w:snapToGrid/>
        <w:spacing w:line="600" w:lineRule="exact"/>
        <w:ind w:left="0" w:firstLine="643" w:firstLineChars="200"/>
        <w:jc w:val="both"/>
        <w:textAlignment w:val="auto"/>
        <w:rPr>
          <w:rFonts w:hint="eastAsia" w:ascii="仿宋_GB2312" w:hAnsi="仿宋" w:eastAsia="仿宋_GB2312" w:cs="仿宋"/>
          <w:sz w:val="32"/>
          <w:szCs w:val="32"/>
        </w:rPr>
      </w:pPr>
      <w:r>
        <w:rPr>
          <w:rFonts w:hint="eastAsia" w:ascii="楷体_GB2312" w:hAnsi="楷体_GB2312" w:eastAsia="楷体_GB2312" w:cs="楷体_GB2312"/>
          <w:b/>
          <w:sz w:val="32"/>
          <w:szCs w:val="32"/>
          <w:lang w:val="en-US" w:eastAsia="zh-CN"/>
        </w:rPr>
        <w:t>二是</w:t>
      </w:r>
      <w:r>
        <w:rPr>
          <w:rFonts w:hint="eastAsia" w:ascii="仿宋_GB2312" w:eastAsia="仿宋_GB2312"/>
          <w:b/>
          <w:sz w:val="32"/>
          <w:szCs w:val="32"/>
        </w:rPr>
        <w:t>规范行政处罚裁量。</w:t>
      </w:r>
      <w:r>
        <w:rPr>
          <w:rFonts w:hint="eastAsia" w:ascii="仿宋_GB2312" w:hAnsi="仿宋" w:eastAsia="仿宋_GB2312" w:cs="仿宋"/>
          <w:sz w:val="32"/>
          <w:szCs w:val="32"/>
          <w:lang w:val="en-US" w:eastAsia="zh-CN"/>
        </w:rPr>
        <w:t>认真落实省市监局</w:t>
      </w:r>
      <w:r>
        <w:rPr>
          <w:rFonts w:hint="eastAsia" w:ascii="仿宋_GB2312" w:hAnsi="仿宋_GB2312" w:eastAsia="仿宋_GB2312" w:cs="仿宋_GB2312"/>
          <w:spacing w:val="-6"/>
          <w:sz w:val="32"/>
          <w:szCs w:val="32"/>
        </w:rPr>
        <w:t>行政执法裁量“四张清单”</w:t>
      </w:r>
      <w:r>
        <w:rPr>
          <w:rFonts w:hint="eastAsia" w:ascii="仿宋_GB2312" w:hAnsi="仿宋_GB2312" w:eastAsia="仿宋_GB2312" w:cs="仿宋_GB2312"/>
          <w:spacing w:val="-6"/>
          <w:sz w:val="32"/>
          <w:szCs w:val="32"/>
          <w:lang w:val="en-US" w:eastAsia="zh-CN"/>
        </w:rPr>
        <w:t>和</w:t>
      </w:r>
      <w:r>
        <w:rPr>
          <w:rFonts w:hint="eastAsia" w:ascii="仿宋_GB2312" w:hAnsi="仿宋" w:eastAsia="仿宋_GB2312" w:cs="仿宋"/>
          <w:sz w:val="32"/>
          <w:szCs w:val="32"/>
        </w:rPr>
        <w:t>我市市场监管领域轻微免罚清单，办结</w:t>
      </w:r>
      <w:r>
        <w:rPr>
          <w:rFonts w:hint="eastAsia" w:ascii="仿宋_GB2312" w:hAnsi="仿宋" w:eastAsia="仿宋_GB2312" w:cs="仿宋"/>
          <w:sz w:val="32"/>
          <w:szCs w:val="32"/>
          <w:lang w:val="en-US" w:eastAsia="zh-CN"/>
        </w:rPr>
        <w:t>行政处罚</w:t>
      </w:r>
      <w:r>
        <w:rPr>
          <w:rFonts w:hint="eastAsia" w:ascii="仿宋_GB2312" w:hAnsi="仿宋" w:eastAsia="仿宋_GB2312" w:cs="仿宋"/>
          <w:sz w:val="32"/>
          <w:szCs w:val="32"/>
        </w:rPr>
        <w:t>减免案件17起，减免处罚金额70.5万元。</w:t>
      </w:r>
      <w:r>
        <w:rPr>
          <w:rFonts w:hint="eastAsia" w:ascii="仿宋_GB2312" w:hAnsi="仿宋" w:eastAsia="仿宋_GB2312" w:cs="仿宋"/>
          <w:sz w:val="32"/>
          <w:szCs w:val="32"/>
          <w:lang w:val="en-US" w:eastAsia="zh-CN"/>
        </w:rPr>
        <w:t>修订食品安全法等12部法律法规规章的行政处罚裁量基准，适当降低从减处罚情形的罚款标准，使得行政执法更加有温度。</w:t>
      </w:r>
      <w:r>
        <w:rPr>
          <w:rFonts w:hint="eastAsia" w:ascii="仿宋_GB2312" w:hAnsi="仿宋" w:eastAsia="仿宋_GB2312" w:cs="仿宋"/>
          <w:sz w:val="32"/>
          <w:szCs w:val="32"/>
        </w:rPr>
        <w:t>发布《福州市场监督管理局关于受新冠疫情影响出租车计价器未能正常周期检定相关处置的通告》，明确受疫情影响（3月20日至4月5日）超期未检的近300台出租车计价器不予行政处罚（但须于过渡期4月6日至4月30日落实强制检定），受到广大出租车公司和司机朋友的高度赞誉。</w:t>
      </w:r>
    </w:p>
    <w:p w14:paraId="02A4AB48">
      <w:pPr>
        <w:pStyle w:val="2"/>
        <w:rPr>
          <w:rFonts w:hint="default" w:ascii="仿宋_GB2312" w:hAnsi="仿宋" w:eastAsia="仿宋_GB2312" w:cs="仿宋"/>
          <w:kern w:val="2"/>
          <w:sz w:val="32"/>
          <w:szCs w:val="32"/>
          <w:lang w:val="en-US" w:eastAsia="zh-CN" w:bidi="ar-SA"/>
        </w:rPr>
      </w:pPr>
      <w:r>
        <w:rPr>
          <w:rFonts w:hint="eastAsia" w:ascii="楷体_GB2312" w:hAnsi="楷体_GB2312" w:eastAsia="楷体_GB2312" w:cs="楷体_GB2312"/>
          <w:b/>
          <w:kern w:val="2"/>
          <w:sz w:val="32"/>
          <w:szCs w:val="32"/>
          <w:lang w:val="en-US" w:eastAsia="zh-CN" w:bidi="ar-SA"/>
        </w:rPr>
        <w:t>三是提升规范性文件制定科学化水平。</w:t>
      </w:r>
      <w:r>
        <w:rPr>
          <w:rFonts w:hint="eastAsia" w:ascii="仿宋_GB2312" w:hAnsi="仿宋" w:eastAsia="仿宋_GB2312" w:cs="仿宋"/>
          <w:kern w:val="2"/>
          <w:sz w:val="32"/>
          <w:szCs w:val="32"/>
          <w:lang w:val="en-US" w:eastAsia="zh-CN" w:bidi="ar-SA"/>
        </w:rPr>
        <w:t>组织学习</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《福建省行政规范性文件备案审查办法》</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和</w:t>
      </w:r>
      <w:r>
        <w:rPr>
          <w:rFonts w:hint="eastAsia" w:ascii="仿宋" w:hAnsi="仿宋" w:eastAsia="仿宋" w:cs="仿宋"/>
          <w:sz w:val="32"/>
          <w:szCs w:val="32"/>
        </w:rPr>
        <w:t>《福州市司法局关于进一步加强行政规范性文件备案审查工作的通知》</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落实</w:t>
      </w:r>
      <w:r>
        <w:rPr>
          <w:rFonts w:hint="eastAsia" w:ascii="仿宋_GB2312" w:hAnsi="仿宋" w:eastAsia="仿宋_GB2312" w:cs="仿宋"/>
          <w:kern w:val="2"/>
          <w:sz w:val="32"/>
          <w:szCs w:val="32"/>
          <w:lang w:val="en-US" w:eastAsia="zh-CN" w:bidi="ar-SA"/>
        </w:rPr>
        <w:t>规范性文件</w:t>
      </w:r>
      <w:r>
        <w:rPr>
          <w:rFonts w:hint="eastAsia" w:ascii="仿宋" w:hAnsi="仿宋" w:eastAsia="仿宋" w:cs="仿宋"/>
          <w:sz w:val="32"/>
          <w:szCs w:val="32"/>
        </w:rPr>
        <w:t>“三统一”要求</w:t>
      </w:r>
      <w:r>
        <w:rPr>
          <w:rFonts w:hint="eastAsia" w:ascii="仿宋_GB2312" w:hAnsi="仿宋" w:eastAsia="仿宋_GB2312" w:cs="仿宋"/>
          <w:kern w:val="2"/>
          <w:sz w:val="32"/>
          <w:szCs w:val="32"/>
          <w:lang w:val="en-US" w:eastAsia="zh-CN" w:bidi="ar-SA"/>
        </w:rPr>
        <w:t>，加强合法性审核把关，由局法律顾问出具法律意见书，法制机构进行合法性审查。规范性文件出台后及时予以公开、发布政策解读，并按规定报送市司法局备案。今年我局已向市司法局报送备案规范性文件13份。根据市司法局安排，对规范性文件进行清理，</w:t>
      </w:r>
    </w:p>
    <w:p w14:paraId="12DC6329">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rPr>
        <w:t>（</w:t>
      </w:r>
      <w:r>
        <w:rPr>
          <w:rFonts w:hint="eastAsia" w:ascii="楷体_GB2312" w:hAnsi="楷体_GB2312" w:eastAsia="楷体_GB2312" w:cs="楷体_GB2312"/>
          <w:b/>
          <w:bCs w:val="0"/>
          <w:sz w:val="32"/>
          <w:szCs w:val="32"/>
          <w:lang w:eastAsia="zh-CN"/>
        </w:rPr>
        <w:t>六</w:t>
      </w:r>
      <w:r>
        <w:rPr>
          <w:rFonts w:hint="eastAsia" w:ascii="楷体_GB2312" w:hAnsi="楷体_GB2312" w:eastAsia="楷体_GB2312" w:cs="楷体_GB2312"/>
          <w:b/>
          <w:bCs w:val="0"/>
          <w:sz w:val="32"/>
          <w:szCs w:val="32"/>
        </w:rPr>
        <w:t>）持续推进</w:t>
      </w:r>
      <w:r>
        <w:rPr>
          <w:rFonts w:hint="eastAsia" w:ascii="楷体_GB2312" w:hAnsi="楷体_GB2312" w:eastAsia="楷体_GB2312" w:cs="楷体_GB2312"/>
          <w:b/>
          <w:bCs w:val="0"/>
          <w:sz w:val="32"/>
          <w:szCs w:val="32"/>
          <w:lang w:eastAsia="zh-CN"/>
        </w:rPr>
        <w:t>，深化</w:t>
      </w:r>
      <w:r>
        <w:rPr>
          <w:rFonts w:hint="eastAsia" w:ascii="楷体_GB2312" w:hAnsi="楷体_GB2312" w:eastAsia="楷体_GB2312" w:cs="楷体_GB2312"/>
          <w:b/>
          <w:bCs w:val="0"/>
          <w:sz w:val="32"/>
          <w:szCs w:val="32"/>
        </w:rPr>
        <w:t>“八五”普法</w:t>
      </w:r>
      <w:r>
        <w:rPr>
          <w:rFonts w:hint="eastAsia" w:ascii="楷体_GB2312" w:hAnsi="楷体_GB2312" w:eastAsia="楷体_GB2312" w:cs="楷体_GB2312"/>
          <w:b/>
          <w:bCs w:val="0"/>
          <w:sz w:val="32"/>
          <w:szCs w:val="32"/>
          <w:lang w:eastAsia="zh-CN"/>
        </w:rPr>
        <w:t>工作</w:t>
      </w:r>
    </w:p>
    <w:p w14:paraId="7A77BBDB">
      <w:pPr>
        <w:keepNext w:val="0"/>
        <w:keepLines w:val="0"/>
        <w:pageBreakBefore w:val="0"/>
        <w:widowControl/>
        <w:kinsoku/>
        <w:wordWrap/>
        <w:overflowPunct/>
        <w:topLinePunct w:val="0"/>
        <w:autoSpaceDE/>
        <w:autoSpaceDN/>
        <w:bidi w:val="0"/>
        <w:adjustRightInd w:val="0"/>
        <w:snapToGrid/>
        <w:spacing w:line="600" w:lineRule="exact"/>
        <w:ind w:left="0" w:firstLine="640" w:firstLineChars="200"/>
        <w:jc w:val="both"/>
        <w:textAlignment w:val="auto"/>
        <w:rPr>
          <w:rFonts w:hint="eastAsia" w:ascii="仿宋_GB2312" w:hAnsi="仿宋" w:eastAsia="仿宋_GB2312"/>
          <w:color w:val="FF0000"/>
          <w:sz w:val="32"/>
          <w:szCs w:val="32"/>
        </w:rPr>
      </w:pPr>
      <w:r>
        <w:rPr>
          <w:rFonts w:hint="eastAsia" w:ascii="仿宋_GB2312" w:hAnsi="宋体" w:eastAsia="仿宋_GB2312" w:cs="宋体"/>
          <w:color w:val="auto"/>
          <w:kern w:val="0"/>
          <w:sz w:val="32"/>
          <w:szCs w:val="32"/>
        </w:rPr>
        <w:t>制定发布2022年度普法工作计划</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“谁执法谁普法”责任清单。组织开展以“共促消费公平 共筑有福之州”为主题的“3</w:t>
      </w:r>
      <w:r>
        <w:rPr>
          <w:rFonts w:hint="eastAsia" w:ascii="仿宋_GB2312" w:hAnsi="宋体" w:eastAsia="仿宋_GB2312" w:cs="宋体"/>
          <w:color w:val="auto"/>
          <w:kern w:val="0"/>
          <w:sz w:val="32"/>
          <w:szCs w:val="32"/>
          <w:lang w:val="en-US" w:eastAsia="zh-CN"/>
        </w:rPr>
        <w:t>·</w:t>
      </w:r>
      <w:bookmarkStart w:id="0" w:name="_GoBack"/>
      <w:bookmarkEnd w:id="0"/>
      <w:r>
        <w:rPr>
          <w:rFonts w:hint="eastAsia" w:ascii="仿宋_GB2312" w:hAnsi="宋体" w:eastAsia="仿宋_GB2312" w:cs="宋体"/>
          <w:color w:val="auto"/>
          <w:kern w:val="0"/>
          <w:sz w:val="32"/>
          <w:szCs w:val="32"/>
        </w:rPr>
        <w:t>15”国际消费者权益日系列宣传活动、以"全面开启知识产权强国建设新征程,加快推进知识产权强市建设示范城市创建进程"为主题的知识产权宣传周系列宣传活动和计量日现场宣传活动。组织开展以“推动质量变革创新 促进质量强国建设”为主题的“质量月”活动，编写《福州市小学生质量安全知识读本》，助力经济高质量发展。</w:t>
      </w:r>
      <w:r>
        <w:rPr>
          <w:rFonts w:hint="eastAsia" w:ascii="仿宋_GB2312" w:hAnsi="仿宋" w:eastAsia="仿宋_GB2312"/>
          <w:color w:val="auto"/>
          <w:sz w:val="32"/>
          <w:szCs w:val="32"/>
        </w:rPr>
        <w:t>配合市工信局，牵头做好“党政新时空·政企直通车”平台“政策云配”工具的使用。目前已录入产业发展、科技创新类政策3项。组织开展“美好生活·民法典相伴”主题宣传教育活动，通过“福州市场监管”微信公众号分三期进行民法典宣传月主题宣传，充分利用局质检大楼、支队大楼、各区县市场监管局（所）的LED显示屏，并发动及企业利用LED 显示屏，将民法典中的热点、亮点作为重点内容向大众宣传普。</w:t>
      </w:r>
    </w:p>
    <w:p w14:paraId="724819E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default" w:ascii="none" w:hAnsi="none" w:eastAsia="none" w:cs="none"/>
          <w:i w:val="0"/>
          <w:iCs w:val="0"/>
          <w:caps w:val="0"/>
          <w:color w:val="000000" w:themeColor="text1"/>
          <w:spacing w:val="0"/>
          <w:sz w:val="24"/>
          <w:szCs w:val="24"/>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eastAsia="zh-CN"/>
          <w14:textFill>
            <w14:solidFill>
              <w14:schemeClr w14:val="tx1"/>
            </w14:solidFill>
          </w14:textFill>
        </w:rPr>
        <w:t>二、</w:t>
      </w:r>
      <w:r>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t>存在的问题</w:t>
      </w:r>
    </w:p>
    <w:p w14:paraId="442CC31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我局的法治建设工作虽然取得了一些成效</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，但</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还存在以下几个方面的问题</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p>
    <w:p w14:paraId="2763938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sz w:val="32"/>
          <w:szCs w:val="32"/>
          <w:shd w:val="clear" w:fill="FFFFFF"/>
          <w:lang w:eastAsia="zh-CN"/>
          <w14:textFill>
            <w14:solidFill>
              <w14:schemeClr w14:val="tx1"/>
            </w14:solidFill>
          </w14:textFill>
        </w:rPr>
        <w:t>一是</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执法队伍的专业性有待进一步加强。市场监管领域涵盖工商、食药、质监、知识产权、物价等各个领域，涉及的法律法规众多，执法人员自身的法律水平和执法能力仍需进一步提高。</w:t>
      </w:r>
    </w:p>
    <w:p w14:paraId="7F4F351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　　</w:t>
      </w:r>
      <w:r>
        <w:rPr>
          <w:rFonts w:hint="eastAsia" w:ascii="仿宋_GB2312" w:hAnsi="仿宋_GB2312" w:eastAsia="仿宋_GB2312" w:cs="仿宋_GB2312"/>
          <w:b/>
          <w:bCs/>
          <w:i w:val="0"/>
          <w:iCs w:val="0"/>
          <w:caps w:val="0"/>
          <w:color w:val="000000" w:themeColor="text1"/>
          <w:spacing w:val="0"/>
          <w:sz w:val="32"/>
          <w:szCs w:val="32"/>
          <w:shd w:val="clear" w:fill="FFFFFF"/>
          <w:lang w:eastAsia="zh-CN"/>
          <w14:textFill>
            <w14:solidFill>
              <w14:schemeClr w14:val="tx1"/>
            </w14:solidFill>
          </w14:textFill>
        </w:rPr>
        <w:t>二是</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行政执法行为需要进一步规范。在推动行政执法全过程记录制度，保证行政执法全程留痕、可追溯的贯彻落实还不够到位。</w:t>
      </w:r>
    </w:p>
    <w:p w14:paraId="7DAA56F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rightChars="0" w:firstLine="643" w:firstLineChars="200"/>
        <w:jc w:val="both"/>
        <w:textAlignment w:val="auto"/>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sz w:val="32"/>
          <w:szCs w:val="32"/>
          <w:shd w:val="clear" w:fill="FFFFFF"/>
          <w:lang w:eastAsia="zh-CN"/>
          <w14:textFill>
            <w14:solidFill>
              <w14:schemeClr w14:val="tx1"/>
            </w14:solidFill>
          </w14:textFill>
        </w:rPr>
        <w:t>三</w:t>
      </w:r>
      <w:r>
        <w:rPr>
          <w:rFonts w:hint="eastAsia" w:ascii="仿宋_GB2312" w:hAnsi="仿宋_GB2312" w:eastAsia="仿宋_GB2312" w:cs="仿宋_GB2312"/>
          <w:b/>
          <w:bCs/>
          <w:i w:val="0"/>
          <w:iCs w:val="0"/>
          <w:caps w:val="0"/>
          <w:color w:val="000000" w:themeColor="text1"/>
          <w:spacing w:val="0"/>
          <w:sz w:val="32"/>
          <w:szCs w:val="32"/>
          <w:shd w:val="clear" w:fill="FFFFFF"/>
          <w14:textFill>
            <w14:solidFill>
              <w14:schemeClr w14:val="tx1"/>
            </w14:solidFill>
          </w14:textFill>
        </w:rPr>
        <w:t>是</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法治宣传方式的创新力有待加强，普法效果有待进一步提升。</w:t>
      </w:r>
    </w:p>
    <w:p w14:paraId="1A5F15C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eastAsia="zh-CN"/>
          <w14:textFill>
            <w14:solidFill>
              <w14:schemeClr w14:val="tx1"/>
            </w14:solidFill>
          </w14:textFill>
        </w:rPr>
        <w:t>三、</w:t>
      </w: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2023年工作计划</w:t>
      </w:r>
    </w:p>
    <w:p w14:paraId="19E45EF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2023年，</w:t>
      </w:r>
      <w:r>
        <w:rPr>
          <w:rFonts w:hint="eastAsia" w:ascii="仿宋_GB2312" w:eastAsia="仿宋_GB2312"/>
          <w:color w:val="000000" w:themeColor="text1"/>
          <w:sz w:val="32"/>
          <w:szCs w:val="32"/>
          <w14:textFill>
            <w14:solidFill>
              <w14:schemeClr w14:val="tx1"/>
            </w14:solidFill>
          </w14:textFill>
        </w:rPr>
        <w:t>我局将围绕《法治政府建设实施纲要（2021-2025年）》</w:t>
      </w:r>
      <w:r>
        <w:rPr>
          <w:rFonts w:eastAsia="仿宋_GB2312"/>
          <w:color w:val="000000" w:themeColor="text1"/>
          <w:sz w:val="32"/>
          <w:szCs w:val="32"/>
          <w14:textFill>
            <w14:solidFill>
              <w14:schemeClr w14:val="tx1"/>
            </w14:solidFill>
          </w14:textFill>
        </w:rPr>
        <w:t>《法治市场监管建设实施规划</w:t>
      </w:r>
      <w:r>
        <w:rPr>
          <w:rFonts w:hint="eastAsia" w:ascii="仿宋_GB2312" w:eastAsia="仿宋_GB2312"/>
          <w:color w:val="000000" w:themeColor="text1"/>
          <w:sz w:val="32"/>
          <w:szCs w:val="32"/>
          <w14:textFill>
            <w14:solidFill>
              <w14:schemeClr w14:val="tx1"/>
            </w14:solidFill>
          </w14:textFill>
        </w:rPr>
        <w:t>（2021-2025</w:t>
      </w:r>
      <w:r>
        <w:rPr>
          <w:rFonts w:eastAsia="仿宋_GB2312"/>
          <w:color w:val="000000" w:themeColor="text1"/>
          <w:sz w:val="32"/>
          <w:szCs w:val="32"/>
          <w14:textFill>
            <w14:solidFill>
              <w14:schemeClr w14:val="tx1"/>
            </w14:solidFill>
          </w14:textFill>
        </w:rPr>
        <w:t>年）》</w:t>
      </w:r>
      <w:r>
        <w:rPr>
          <w:rFonts w:hint="eastAsia" w:ascii="仿宋_GB2312" w:eastAsia="仿宋_GB2312"/>
          <w:color w:val="000000" w:themeColor="text1"/>
          <w:sz w:val="32"/>
          <w:szCs w:val="32"/>
          <w14:textFill>
            <w14:solidFill>
              <w14:schemeClr w14:val="tx1"/>
            </w14:solidFill>
          </w14:textFill>
        </w:rPr>
        <w:t>，按照</w:t>
      </w:r>
      <w:r>
        <w:rPr>
          <w:rFonts w:hint="eastAsia" w:ascii="仿宋_GB2312" w:eastAsia="仿宋_GB2312"/>
          <w:color w:val="000000" w:themeColor="text1"/>
          <w:sz w:val="32"/>
          <w:szCs w:val="32"/>
          <w:lang w:eastAsia="zh-CN"/>
          <w14:textFill>
            <w14:solidFill>
              <w14:schemeClr w14:val="tx1"/>
            </w14:solidFill>
          </w14:textFill>
        </w:rPr>
        <w:t>市委、市政府</w:t>
      </w:r>
      <w:r>
        <w:rPr>
          <w:rFonts w:hint="eastAsia" w:ascii="仿宋_GB2312" w:eastAsia="仿宋_GB2312"/>
          <w:color w:val="000000" w:themeColor="text1"/>
          <w:sz w:val="32"/>
          <w:szCs w:val="32"/>
          <w14:textFill>
            <w14:solidFill>
              <w14:schemeClr w14:val="tx1"/>
            </w14:solidFill>
          </w14:textFill>
        </w:rPr>
        <w:t>的工作部署，</w:t>
      </w:r>
      <w:r>
        <w:rPr>
          <w:rFonts w:hint="eastAsia" w:ascii="仿宋_GB2312" w:eastAsia="仿宋_GB2312"/>
          <w:color w:val="000000" w:themeColor="text1"/>
          <w:sz w:val="32"/>
          <w:szCs w:val="32"/>
          <w:lang w:eastAsia="zh-CN"/>
          <w14:textFill>
            <w14:solidFill>
              <w14:schemeClr w14:val="tx1"/>
            </w14:solidFill>
          </w14:textFill>
        </w:rPr>
        <w:t>进一步</w:t>
      </w:r>
      <w:r>
        <w:rPr>
          <w:rFonts w:hint="eastAsia" w:ascii="仿宋_GB2312" w:eastAsia="仿宋_GB2312"/>
          <w:color w:val="000000" w:themeColor="text1"/>
          <w:sz w:val="32"/>
          <w:szCs w:val="32"/>
          <w14:textFill>
            <w14:solidFill>
              <w14:schemeClr w14:val="tx1"/>
            </w14:solidFill>
          </w14:textFill>
        </w:rPr>
        <w:t>完善市场监管行政执法制度体系、规范市场监管行政执法行为、强化行政执法监督、推进“八五”普法</w:t>
      </w:r>
      <w:r>
        <w:rPr>
          <w:rFonts w:hint="eastAsia" w:ascii="仿宋_GB2312" w:eastAsia="仿宋_GB2312"/>
          <w:color w:val="000000" w:themeColor="text1"/>
          <w:sz w:val="32"/>
          <w:szCs w:val="32"/>
          <w:lang w:eastAsia="zh-CN"/>
          <w14:textFill>
            <w14:solidFill>
              <w14:schemeClr w14:val="tx1"/>
            </w14:solidFill>
          </w14:textFill>
        </w:rPr>
        <w:t>工作</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全力</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推动法治政府建设取得新成效。</w:t>
      </w:r>
    </w:p>
    <w:p w14:paraId="554FC937">
      <w:pPr>
        <w:keepNext w:val="0"/>
        <w:keepLines w:val="0"/>
        <w:pageBreakBefore w:val="0"/>
        <w:kinsoku/>
        <w:wordWrap/>
        <w:overflowPunct/>
        <w:topLinePunct w:val="0"/>
        <w:autoSpaceDE/>
        <w:autoSpaceDN/>
        <w:bidi w:val="0"/>
        <w:snapToGrid/>
        <w:spacing w:line="600" w:lineRule="exact"/>
        <w:ind w:firstLine="643" w:firstLineChars="200"/>
        <w:textAlignment w:val="auto"/>
        <w:rPr>
          <w:rFonts w:hint="eastAsia" w:ascii="仿宋_GB2312" w:eastAsia="仿宋_GB2312"/>
          <w:sz w:val="32"/>
          <w:szCs w:val="32"/>
        </w:rPr>
      </w:pPr>
      <w:r>
        <w:rPr>
          <w:rFonts w:hint="eastAsia" w:ascii="楷体_GB2312" w:hAnsi="楷体_GB2312" w:eastAsia="楷体_GB2312" w:cs="楷体_GB2312"/>
          <w:b/>
          <w:sz w:val="32"/>
          <w:szCs w:val="32"/>
          <w:lang w:eastAsia="zh-CN"/>
        </w:rPr>
        <w:t>一是</w:t>
      </w:r>
      <w:r>
        <w:rPr>
          <w:rFonts w:hint="eastAsia" w:ascii="楷体_GB2312" w:hAnsi="楷体_GB2312" w:eastAsia="楷体_GB2312" w:cs="楷体_GB2312"/>
          <w:b/>
          <w:sz w:val="32"/>
          <w:szCs w:val="32"/>
        </w:rPr>
        <w:t>深化习近平法治思想宣传贯彻落实。</w:t>
      </w:r>
      <w:r>
        <w:rPr>
          <w:rFonts w:hint="eastAsia" w:ascii="仿宋_GB2312" w:eastAsia="仿宋_GB2312"/>
          <w:sz w:val="32"/>
          <w:szCs w:val="32"/>
        </w:rPr>
        <w:t>统筹推动《习近平法治思想学习纲要》学习宣传工作,推动领导干部带头学习、模范践行习近平法治思想，将习近平法治思想作为市场监管部门党组理论学习中心组学习和干部学习培训的重要内容。发挥好各类基层普法阵地作用,运用各类媒体和平台,推动习近平法治思想入脑入心、走深走实，</w:t>
      </w:r>
      <w:r>
        <w:rPr>
          <w:rFonts w:hint="eastAsia" w:ascii="仿宋_GB2312" w:hAnsi="宋体" w:eastAsia="仿宋_GB2312" w:cs="宋体"/>
          <w:kern w:val="0"/>
          <w:sz w:val="32"/>
          <w:szCs w:val="32"/>
        </w:rPr>
        <w:t>把习近平法治思想贯彻落实到法治市场监管建设全过程和各方面。</w:t>
      </w:r>
    </w:p>
    <w:p w14:paraId="24B03976">
      <w:pPr>
        <w:keepNext w:val="0"/>
        <w:keepLines w:val="0"/>
        <w:pageBreakBefore w:val="0"/>
        <w:kinsoku/>
        <w:wordWrap/>
        <w:overflowPunct/>
        <w:topLinePunct w:val="0"/>
        <w:autoSpaceDE/>
        <w:autoSpaceDN/>
        <w:bidi w:val="0"/>
        <w:snapToGrid/>
        <w:spacing w:line="600" w:lineRule="exact"/>
        <w:ind w:firstLine="643" w:firstLineChars="200"/>
        <w:textAlignment w:val="auto"/>
        <w:rPr>
          <w:rFonts w:hint="eastAsia" w:ascii="仿宋_GB2312" w:eastAsia="仿宋_GB2312"/>
          <w:sz w:val="32"/>
          <w:szCs w:val="32"/>
        </w:rPr>
      </w:pPr>
      <w:r>
        <w:rPr>
          <w:rFonts w:hint="eastAsia" w:ascii="楷体_GB2312" w:hAnsi="楷体_GB2312" w:eastAsia="楷体_GB2312" w:cs="楷体_GB2312"/>
          <w:b/>
          <w:sz w:val="32"/>
          <w:szCs w:val="32"/>
          <w:lang w:eastAsia="zh-CN"/>
        </w:rPr>
        <w:t>二是</w:t>
      </w:r>
      <w:r>
        <w:rPr>
          <w:rFonts w:hint="eastAsia" w:ascii="楷体_GB2312" w:hAnsi="楷体_GB2312" w:eastAsia="楷体_GB2312" w:cs="楷体_GB2312"/>
          <w:b/>
          <w:sz w:val="32"/>
          <w:szCs w:val="32"/>
        </w:rPr>
        <w:t>加快推进立规工作。</w:t>
      </w:r>
      <w:r>
        <w:rPr>
          <w:rFonts w:hint="eastAsia" w:ascii="仿宋_GB2312" w:eastAsia="仿宋_GB2312"/>
          <w:sz w:val="32"/>
          <w:szCs w:val="32"/>
        </w:rPr>
        <w:t>继续做好《福州市网络餐饮服务食品安全管理办法》政府规章立规工作，推动规章尽快出台。</w:t>
      </w:r>
      <w:r>
        <w:rPr>
          <w:rFonts w:hint="eastAsia" w:ascii="仿宋_GB2312" w:eastAsia="仿宋_GB2312"/>
          <w:sz w:val="32"/>
          <w:szCs w:val="32"/>
          <w:lang w:eastAsia="zh-CN"/>
        </w:rPr>
        <w:t>同时</w:t>
      </w:r>
      <w:r>
        <w:rPr>
          <w:rFonts w:hint="eastAsia" w:ascii="仿宋_GB2312" w:eastAsia="仿宋_GB2312"/>
          <w:sz w:val="32"/>
          <w:szCs w:val="32"/>
        </w:rPr>
        <w:t>加强党内规范性文件制度建设，做好《福州市市场监督管理局党纪政纪处理信息归集（备案）办法》制定、报送市委备案工作。</w:t>
      </w:r>
    </w:p>
    <w:p w14:paraId="69D2C929">
      <w:pPr>
        <w:keepNext w:val="0"/>
        <w:keepLines w:val="0"/>
        <w:pageBreakBefore w:val="0"/>
        <w:kinsoku/>
        <w:wordWrap/>
        <w:overflowPunct/>
        <w:topLinePunct w:val="0"/>
        <w:autoSpaceDE/>
        <w:autoSpaceDN/>
        <w:bidi w:val="0"/>
        <w:snapToGrid/>
        <w:spacing w:line="600" w:lineRule="exact"/>
        <w:ind w:firstLine="643" w:firstLineChars="200"/>
        <w:textAlignment w:val="auto"/>
        <w:rPr>
          <w:rFonts w:hint="eastAsia" w:eastAsia="仿宋_GB2312"/>
          <w:sz w:val="32"/>
          <w:szCs w:val="32"/>
        </w:rPr>
      </w:pPr>
      <w:r>
        <w:rPr>
          <w:rFonts w:hint="eastAsia" w:ascii="楷体_GB2312" w:hAnsi="楷体_GB2312" w:eastAsia="楷体_GB2312" w:cs="楷体_GB2312"/>
          <w:b/>
          <w:sz w:val="32"/>
          <w:szCs w:val="32"/>
          <w:lang w:eastAsia="zh-CN"/>
        </w:rPr>
        <w:t>三是</w:t>
      </w:r>
      <w:r>
        <w:rPr>
          <w:rFonts w:hint="eastAsia" w:ascii="楷体_GB2312" w:hAnsi="楷体_GB2312" w:eastAsia="楷体_GB2312" w:cs="楷体_GB2312"/>
          <w:b/>
          <w:sz w:val="32"/>
          <w:szCs w:val="32"/>
        </w:rPr>
        <w:t>完善行政执法制度建设。</w:t>
      </w:r>
      <w:r>
        <w:rPr>
          <w:rFonts w:hint="eastAsia" w:ascii="仿宋_GB2312" w:hAnsi="仿宋_GB2312" w:eastAsia="仿宋_GB2312" w:cs="仿宋_GB2312"/>
          <w:sz w:val="32"/>
          <w:szCs w:val="32"/>
        </w:rPr>
        <w:t>根据执法支队综合执法改革推进情况，适时出台行政处罚案件审核和机关负责人集体讨论程序制度。</w:t>
      </w:r>
      <w:r>
        <w:rPr>
          <w:rFonts w:hint="eastAsia" w:eastAsia="仿宋_GB2312"/>
          <w:sz w:val="32"/>
          <w:szCs w:val="32"/>
          <w:lang w:eastAsia="zh-CN"/>
        </w:rPr>
        <w:t>深化</w:t>
      </w:r>
      <w:r>
        <w:rPr>
          <w:rFonts w:hint="eastAsia" w:eastAsia="仿宋_GB2312"/>
          <w:sz w:val="32"/>
          <w:szCs w:val="32"/>
        </w:rPr>
        <w:t>落实省局</w:t>
      </w:r>
      <w:r>
        <w:rPr>
          <w:rFonts w:hint="eastAsia" w:ascii="仿宋_GB2312" w:hAnsi="仿宋_GB2312" w:eastAsia="仿宋_GB2312" w:cs="仿宋_GB2312"/>
          <w:spacing w:val="-6"/>
          <w:sz w:val="32"/>
          <w:szCs w:val="32"/>
        </w:rPr>
        <w:t>行政执法裁量“四张清单”</w:t>
      </w:r>
      <w:r>
        <w:rPr>
          <w:rFonts w:hint="eastAsia" w:ascii="仿宋_GB2312" w:hAnsi="仿宋" w:eastAsia="仿宋_GB2312" w:cs="Helvetica"/>
          <w:sz w:val="32"/>
          <w:szCs w:val="32"/>
          <w:shd w:val="clear" w:color="auto" w:fill="FFFFFF"/>
        </w:rPr>
        <w:t>和我局轻微免罚</w:t>
      </w:r>
      <w:r>
        <w:rPr>
          <w:rFonts w:eastAsia="仿宋_GB2312"/>
          <w:sz w:val="32"/>
          <w:szCs w:val="32"/>
        </w:rPr>
        <w:t>清单，</w:t>
      </w:r>
      <w:r>
        <w:rPr>
          <w:rFonts w:hint="eastAsia" w:eastAsia="仿宋_GB2312"/>
          <w:sz w:val="32"/>
          <w:szCs w:val="32"/>
        </w:rPr>
        <w:t>统一执法尺度，</w:t>
      </w:r>
      <w:r>
        <w:rPr>
          <w:rFonts w:hint="eastAsia" w:ascii="仿宋_GB2312" w:hAnsi="仿宋" w:eastAsia="仿宋_GB2312" w:cs="Helvetica"/>
          <w:sz w:val="32"/>
          <w:szCs w:val="32"/>
          <w:shd w:val="clear" w:color="auto" w:fill="FFFFFF"/>
        </w:rPr>
        <w:t>优化营商环境</w:t>
      </w:r>
      <w:r>
        <w:rPr>
          <w:rFonts w:eastAsia="仿宋_GB2312"/>
          <w:sz w:val="32"/>
          <w:szCs w:val="32"/>
        </w:rPr>
        <w:t>。</w:t>
      </w:r>
      <w:r>
        <w:rPr>
          <w:rFonts w:hint="eastAsia" w:eastAsia="仿宋_GB2312"/>
          <w:sz w:val="32"/>
          <w:szCs w:val="32"/>
        </w:rPr>
        <w:t>继续</w:t>
      </w:r>
      <w:r>
        <w:rPr>
          <w:rFonts w:hint="eastAsia" w:ascii="仿宋_GB2312" w:eastAsia="仿宋_GB2312"/>
          <w:sz w:val="32"/>
          <w:szCs w:val="32"/>
        </w:rPr>
        <w:t>修订完善</w:t>
      </w:r>
      <w:r>
        <w:rPr>
          <w:rFonts w:hint="eastAsia" w:ascii="仿宋_GB2312" w:eastAsia="仿宋_GB2312"/>
          <w:sz w:val="32"/>
          <w:szCs w:val="32"/>
          <w:lang w:eastAsia="zh-CN"/>
        </w:rPr>
        <w:t>我</w:t>
      </w:r>
      <w:r>
        <w:rPr>
          <w:rFonts w:hint="eastAsia" w:ascii="仿宋_GB2312" w:eastAsia="仿宋_GB2312"/>
          <w:sz w:val="32"/>
          <w:szCs w:val="32"/>
        </w:rPr>
        <w:t>局</w:t>
      </w:r>
      <w:r>
        <w:rPr>
          <w:rFonts w:eastAsia="仿宋_GB2312"/>
          <w:sz w:val="32"/>
          <w:szCs w:val="32"/>
        </w:rPr>
        <w:t>行政处罚裁量基准，</w:t>
      </w:r>
      <w:r>
        <w:rPr>
          <w:rFonts w:hint="eastAsia" w:eastAsia="仿宋_GB2312"/>
          <w:sz w:val="32"/>
          <w:szCs w:val="32"/>
        </w:rPr>
        <w:t>推出后续批次新修订裁量基准，</w:t>
      </w:r>
      <w:r>
        <w:rPr>
          <w:rFonts w:eastAsia="仿宋_GB2312"/>
          <w:sz w:val="32"/>
          <w:szCs w:val="32"/>
        </w:rPr>
        <w:t>切实解决执法实践中裁量基准与执法活动不相适应的问题。</w:t>
      </w:r>
    </w:p>
    <w:p w14:paraId="37DC2B03">
      <w:pPr>
        <w:keepNext w:val="0"/>
        <w:keepLines w:val="0"/>
        <w:pageBreakBefore w:val="0"/>
        <w:kinsoku/>
        <w:wordWrap/>
        <w:overflowPunct/>
        <w:topLinePunct w:val="0"/>
        <w:autoSpaceDE/>
        <w:autoSpaceDN/>
        <w:bidi w:val="0"/>
        <w:snapToGrid/>
        <w:spacing w:line="600" w:lineRule="exact"/>
        <w:ind w:firstLine="643" w:firstLineChars="200"/>
        <w:textAlignment w:val="auto"/>
        <w:rPr>
          <w:rFonts w:hint="eastAsia" w:ascii="仿宋_GB2312" w:eastAsia="仿宋_GB2312"/>
          <w:color w:val="000000" w:themeColor="text1"/>
          <w:sz w:val="32"/>
          <w:szCs w:val="32"/>
          <w:u w:val="none"/>
          <w14:textFill>
            <w14:solidFill>
              <w14:schemeClr w14:val="tx1"/>
            </w14:solidFill>
          </w14:textFill>
        </w:rPr>
      </w:pPr>
      <w:r>
        <w:rPr>
          <w:rFonts w:hint="eastAsia" w:ascii="楷体_GB2312" w:hAnsi="楷体_GB2312" w:eastAsia="楷体_GB2312" w:cs="楷体_GB2312"/>
          <w:b/>
          <w:sz w:val="32"/>
          <w:szCs w:val="32"/>
          <w:lang w:eastAsia="zh-CN"/>
        </w:rPr>
        <w:t>四是持续推动“谁执法谁普法”责任制落实。</w:t>
      </w:r>
      <w:r>
        <w:rPr>
          <w:rFonts w:eastAsia="仿宋_GB2312"/>
          <w:sz w:val="32"/>
          <w:szCs w:val="32"/>
        </w:rPr>
        <w:t>紧贴市场监管实际，</w:t>
      </w:r>
      <w:r>
        <w:rPr>
          <w:rFonts w:hint="eastAsia" w:ascii="仿宋_GB2312" w:eastAsia="仿宋_GB2312"/>
          <w:sz w:val="32"/>
          <w:szCs w:val="32"/>
        </w:rPr>
        <w:t>制定年度重点普法责任清单，并狠抓落实。</w:t>
      </w:r>
      <w:r>
        <w:rPr>
          <w:rFonts w:hint="eastAsia" w:ascii="仿宋_GB2312" w:hAnsi="仿宋_GB2312" w:eastAsia="仿宋_GB2312" w:cs="仿宋_GB2312"/>
          <w:sz w:val="32"/>
          <w:szCs w:val="32"/>
        </w:rPr>
        <w:t>推广“以案释法”</w:t>
      </w:r>
      <w:r>
        <w:rPr>
          <w:rFonts w:eastAsia="仿宋_GB2312"/>
          <w:sz w:val="32"/>
          <w:szCs w:val="32"/>
        </w:rPr>
        <w:t>，通过典型案例发布、行政处罚决定公示、社会热点案件法治解读、</w:t>
      </w:r>
      <w:r>
        <w:rPr>
          <w:rFonts w:eastAsia="仿宋_GB2312"/>
          <w:color w:val="000000" w:themeColor="text1"/>
          <w:sz w:val="32"/>
          <w:szCs w:val="32"/>
          <w:u w:val="none"/>
          <w14:textFill>
            <w14:solidFill>
              <w14:schemeClr w14:val="tx1"/>
            </w14:solidFill>
          </w14:textFill>
        </w:rPr>
        <w:t>微普法等形式，</w:t>
      </w:r>
      <w:r>
        <w:rPr>
          <w:rFonts w:hint="eastAsia" w:ascii="仿宋_GB2312" w:eastAsia="仿宋_GB2312"/>
          <w:color w:val="000000" w:themeColor="text1"/>
          <w:sz w:val="32"/>
          <w:szCs w:val="32"/>
          <w:u w:val="none"/>
          <w14:textFill>
            <w14:solidFill>
              <w14:schemeClr w14:val="tx1"/>
            </w14:solidFill>
          </w14:textFill>
        </w:rPr>
        <w:t>推动行政执法与法治宣传有机结合。加大普法进校园、进企业等工作力度，着力推动校园普法基地建设。</w:t>
      </w:r>
    </w:p>
    <w:p w14:paraId="00E6845B">
      <w:pPr>
        <w:pStyle w:val="5"/>
        <w:keepNext w:val="0"/>
        <w:keepLines w:val="0"/>
        <w:pageBreakBefore w:val="0"/>
        <w:kinsoku/>
        <w:wordWrap/>
        <w:overflowPunct/>
        <w:topLinePunct w:val="0"/>
        <w:autoSpaceDE/>
        <w:autoSpaceDN/>
        <w:bidi w:val="0"/>
        <w:snapToGrid/>
        <w:spacing w:line="600" w:lineRule="exact"/>
        <w:ind w:firstLine="643" w:firstLineChars="200"/>
        <w:textAlignment w:val="auto"/>
        <w:rPr>
          <w:rFonts w:hint="eastAsia" w:eastAsia="仿宋_GB2312"/>
          <w:sz w:val="32"/>
          <w:szCs w:val="32"/>
          <w:lang w:eastAsia="zh-CN"/>
        </w:rPr>
      </w:pPr>
      <w:r>
        <w:rPr>
          <w:rFonts w:hint="eastAsia" w:ascii="楷体_GB2312" w:hAnsi="楷体_GB2312" w:eastAsia="楷体_GB2312" w:cs="楷体_GB2312"/>
          <w:b/>
          <w:kern w:val="2"/>
          <w:sz w:val="32"/>
          <w:szCs w:val="32"/>
          <w:lang w:val="en-US" w:eastAsia="zh-CN" w:bidi="ar-SA"/>
        </w:rPr>
        <w:t>五是做好行政复议、应诉工作。</w:t>
      </w:r>
      <w:r>
        <w:rPr>
          <w:rFonts w:hint="eastAsia" w:eastAsia="仿宋_GB2312"/>
          <w:sz w:val="32"/>
          <w:szCs w:val="32"/>
        </w:rPr>
        <w:t>积极配合本级政府行政复议机构开展行政复议工作，及时履行行政复议决定、行政复议意见书或建议书，纠正违法或不当行政行为，改进行政执法</w:t>
      </w:r>
      <w:r>
        <w:rPr>
          <w:rFonts w:eastAsia="仿宋_GB2312"/>
          <w:sz w:val="32"/>
          <w:szCs w:val="32"/>
        </w:rPr>
        <w:t>。在行政应诉工作中发挥好组织、协调、指导作用。加强行政应诉能力建设</w:t>
      </w:r>
      <w:r>
        <w:rPr>
          <w:rFonts w:hint="eastAsia" w:eastAsia="仿宋_GB2312"/>
          <w:sz w:val="32"/>
          <w:szCs w:val="32"/>
        </w:rPr>
        <w:t>，按照</w:t>
      </w:r>
      <w:r>
        <w:rPr>
          <w:rFonts w:hint="eastAsia" w:ascii="仿宋_GB2312" w:eastAsia="仿宋_GB2312"/>
          <w:sz w:val="32"/>
          <w:szCs w:val="32"/>
        </w:rPr>
        <w:t>局机关负责人出庭应诉职责分工规定，落实好机关负责人出庭应诉制度。加强应诉案件跟踪，做好败诉风险防范，及时化解行政纠纷。</w:t>
      </w:r>
      <w:r>
        <w:rPr>
          <w:rFonts w:eastAsia="仿宋_GB2312"/>
          <w:sz w:val="32"/>
          <w:szCs w:val="32"/>
        </w:rPr>
        <w:t>继续完善行政应诉情况报告和统计分析制度，及时</w:t>
      </w:r>
      <w:r>
        <w:rPr>
          <w:rFonts w:hint="eastAsia" w:eastAsia="仿宋_GB2312"/>
          <w:sz w:val="32"/>
          <w:szCs w:val="32"/>
        </w:rPr>
        <w:t>研究解决</w:t>
      </w:r>
      <w:r>
        <w:rPr>
          <w:rFonts w:eastAsia="仿宋_GB2312"/>
          <w:sz w:val="32"/>
          <w:szCs w:val="32"/>
        </w:rPr>
        <w:t>案件所反映出的普遍性问题。</w:t>
      </w:r>
    </w:p>
    <w:p w14:paraId="59D3FA6A">
      <w:pPr>
        <w:keepNext w:val="0"/>
        <w:keepLines w:val="0"/>
        <w:pageBreakBefore w:val="0"/>
        <w:kinsoku/>
        <w:wordWrap/>
        <w:overflowPunct/>
        <w:topLinePunct w:val="0"/>
        <w:autoSpaceDE/>
        <w:autoSpaceDN/>
        <w:bidi w:val="0"/>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kern w:val="2"/>
          <w:sz w:val="32"/>
          <w:szCs w:val="32"/>
          <w:lang w:val="en-US" w:eastAsia="zh-CN" w:bidi="ar-SA"/>
        </w:rPr>
        <w:t>六是继续提升“八五”普法工作。</w:t>
      </w:r>
      <w:r>
        <w:rPr>
          <w:rFonts w:hint="eastAsia" w:ascii="仿宋_GB2312" w:hAnsi="仿宋_GB2312" w:eastAsia="仿宋_GB2312" w:cs="仿宋_GB2312"/>
          <w:sz w:val="32"/>
          <w:szCs w:val="32"/>
        </w:rPr>
        <w:t>强化“统一领导、法制牵头、部门实施、齐抓共管、共同参与”的普法工作机制，认真组织贯彻落实市委依法治市委、省市场监管局“八五”普法规划。强化习近平法治思想宣传。利用重要时间节点开展形式多样的主题法治宣传，组织开展“法律六进”等活动，推进互联网+智慧普法，借助微博、微信公众号、手机APP等宣传市场监管法律法规。继续积极参与市司法局、市依法治市办与福州广播电视台主办的《我执法我普法》广播直播互动节目。组织开展“12·4”国家宪法日和“宪法宣传周”集中宣传活动。积极组织本系统人员参加市场监管法律知识竞赛活动，营造尊法学法守法的法治氛围。</w:t>
      </w:r>
    </w:p>
    <w:p w14:paraId="37118EF3">
      <w:pPr>
        <w:pStyle w:val="2"/>
        <w:rPr>
          <w:rFonts w:hint="default" w:ascii="仿宋_GB2312" w:hAnsi="仿宋_GB2312" w:eastAsia="仿宋_GB2312" w:cs="仿宋_GB2312"/>
          <w:sz w:val="32"/>
          <w:szCs w:val="32"/>
          <w:lang w:val="en"/>
        </w:rPr>
      </w:pPr>
      <w:r>
        <w:rPr>
          <w:rFonts w:hint="default" w:ascii="仿宋_GB2312" w:hAnsi="仿宋_GB2312" w:eastAsia="仿宋_GB2312" w:cs="仿宋_GB2312"/>
          <w:sz w:val="32"/>
          <w:szCs w:val="32"/>
          <w:lang w:val="en"/>
        </w:rPr>
        <w:t xml:space="preserve"> </w:t>
      </w:r>
    </w:p>
    <w:p w14:paraId="7C02E7DC">
      <w:pPr>
        <w:pStyle w:val="2"/>
        <w:rPr>
          <w:rFonts w:hint="default"/>
          <w:lang w:val="en-US" w:eastAsia="zh-CN"/>
        </w:rPr>
      </w:pPr>
      <w:r>
        <w:rPr>
          <w:rFonts w:hint="default" w:ascii="仿宋_GB2312" w:hAnsi="仿宋_GB2312" w:eastAsia="仿宋_GB2312" w:cs="仿宋_GB2312"/>
          <w:sz w:val="32"/>
          <w:szCs w:val="32"/>
          <w:lang w:val="en"/>
        </w:rPr>
        <w:t xml:space="preserve">                           </w:t>
      </w:r>
    </w:p>
    <w:p w14:paraId="396D7BD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FF0000"/>
          <w:spacing w:val="0"/>
          <w:sz w:val="32"/>
          <w:szCs w:val="32"/>
          <w:shd w:val="clear" w:fill="FFFFFF"/>
        </w:rPr>
      </w:pPr>
    </w:p>
    <w:p w14:paraId="1FEC71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FF0000"/>
          <w:spacing w:val="0"/>
          <w:sz w:val="32"/>
          <w:szCs w:val="32"/>
          <w:shd w:val="clear" w:fill="FFFFFF"/>
        </w:rPr>
      </w:pPr>
    </w:p>
    <w:p w14:paraId="4BD88CA0">
      <w:pPr>
        <w:keepNext w:val="0"/>
        <w:keepLines w:val="0"/>
        <w:pageBreakBefore w:val="0"/>
        <w:kinsoku/>
        <w:wordWrap/>
        <w:overflowPunct/>
        <w:topLinePunct w:val="0"/>
        <w:autoSpaceDE/>
        <w:autoSpaceDN/>
        <w:bidi w:val="0"/>
        <w:adjustRightInd/>
        <w:snapToGrid/>
        <w:spacing w:line="60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none">
    <w:altName w:val="仿宋"/>
    <w:panose1 w:val="00000000000000000000"/>
    <w:charset w:val="00"/>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1ZDQ0NWU4MDYzMWRlZGNhNTcwYzdlNmY5NjliMjkifQ=="/>
  </w:docVars>
  <w:rsids>
    <w:rsidRoot w:val="00000000"/>
    <w:rsid w:val="011473B7"/>
    <w:rsid w:val="014F778E"/>
    <w:rsid w:val="01B666C0"/>
    <w:rsid w:val="01C81F50"/>
    <w:rsid w:val="02CE3596"/>
    <w:rsid w:val="05F477B7"/>
    <w:rsid w:val="076369A2"/>
    <w:rsid w:val="097D5E24"/>
    <w:rsid w:val="09C6146A"/>
    <w:rsid w:val="0A424927"/>
    <w:rsid w:val="0AF03373"/>
    <w:rsid w:val="0B5036E2"/>
    <w:rsid w:val="0BFE313E"/>
    <w:rsid w:val="0D5A25F6"/>
    <w:rsid w:val="0D8B0A01"/>
    <w:rsid w:val="0DC83A03"/>
    <w:rsid w:val="0E1934B6"/>
    <w:rsid w:val="0EB16245"/>
    <w:rsid w:val="0EB75826"/>
    <w:rsid w:val="106F34BB"/>
    <w:rsid w:val="11967974"/>
    <w:rsid w:val="12AF0CEE"/>
    <w:rsid w:val="14593607"/>
    <w:rsid w:val="14FA0751"/>
    <w:rsid w:val="1585042C"/>
    <w:rsid w:val="15DF7B3C"/>
    <w:rsid w:val="164E4CC1"/>
    <w:rsid w:val="186131B1"/>
    <w:rsid w:val="19A54BF8"/>
    <w:rsid w:val="1A044015"/>
    <w:rsid w:val="1AAB623F"/>
    <w:rsid w:val="1B66485B"/>
    <w:rsid w:val="1C8973D3"/>
    <w:rsid w:val="1D1F3284"/>
    <w:rsid w:val="1FF70178"/>
    <w:rsid w:val="20230F6D"/>
    <w:rsid w:val="21997735"/>
    <w:rsid w:val="21C354DC"/>
    <w:rsid w:val="234B5430"/>
    <w:rsid w:val="25F56F08"/>
    <w:rsid w:val="261F6035"/>
    <w:rsid w:val="28C64B8B"/>
    <w:rsid w:val="28FB3848"/>
    <w:rsid w:val="29E74DB9"/>
    <w:rsid w:val="2C3A38C6"/>
    <w:rsid w:val="2E291E44"/>
    <w:rsid w:val="2E73146A"/>
    <w:rsid w:val="2E992972"/>
    <w:rsid w:val="2F4607D4"/>
    <w:rsid w:val="30302A3D"/>
    <w:rsid w:val="30887EF2"/>
    <w:rsid w:val="30D35741"/>
    <w:rsid w:val="31126BC0"/>
    <w:rsid w:val="345D45F6"/>
    <w:rsid w:val="34637732"/>
    <w:rsid w:val="347E2E03"/>
    <w:rsid w:val="35747E49"/>
    <w:rsid w:val="377BB1FD"/>
    <w:rsid w:val="379A1AF0"/>
    <w:rsid w:val="380A6843"/>
    <w:rsid w:val="38A5656B"/>
    <w:rsid w:val="3B83764D"/>
    <w:rsid w:val="3D9B5B21"/>
    <w:rsid w:val="3DA05553"/>
    <w:rsid w:val="3DD6576A"/>
    <w:rsid w:val="3F4506EC"/>
    <w:rsid w:val="3F756BE7"/>
    <w:rsid w:val="3FC01EDD"/>
    <w:rsid w:val="40B57568"/>
    <w:rsid w:val="40BC08F6"/>
    <w:rsid w:val="413B1FBD"/>
    <w:rsid w:val="41F12885"/>
    <w:rsid w:val="428E5CC4"/>
    <w:rsid w:val="446E63AB"/>
    <w:rsid w:val="45601EAE"/>
    <w:rsid w:val="4573610D"/>
    <w:rsid w:val="45D423DB"/>
    <w:rsid w:val="465D0485"/>
    <w:rsid w:val="47217705"/>
    <w:rsid w:val="4AF313B8"/>
    <w:rsid w:val="4C520360"/>
    <w:rsid w:val="4C6C1422"/>
    <w:rsid w:val="4D20220D"/>
    <w:rsid w:val="4D27359B"/>
    <w:rsid w:val="4EA34EA3"/>
    <w:rsid w:val="4F7F146C"/>
    <w:rsid w:val="50414974"/>
    <w:rsid w:val="52D20210"/>
    <w:rsid w:val="541805B7"/>
    <w:rsid w:val="55894DF3"/>
    <w:rsid w:val="5659713D"/>
    <w:rsid w:val="56A47A0A"/>
    <w:rsid w:val="56B511F4"/>
    <w:rsid w:val="56E542AB"/>
    <w:rsid w:val="592F5CB1"/>
    <w:rsid w:val="597F2532"/>
    <w:rsid w:val="5BB10BFF"/>
    <w:rsid w:val="5BE30FD5"/>
    <w:rsid w:val="5C3830CF"/>
    <w:rsid w:val="5C9D73D6"/>
    <w:rsid w:val="5CA249EC"/>
    <w:rsid w:val="5EC647DF"/>
    <w:rsid w:val="61D074A0"/>
    <w:rsid w:val="620D321D"/>
    <w:rsid w:val="63CA40E4"/>
    <w:rsid w:val="6518584B"/>
    <w:rsid w:val="6531690D"/>
    <w:rsid w:val="65870C23"/>
    <w:rsid w:val="65B13244"/>
    <w:rsid w:val="660C5D19"/>
    <w:rsid w:val="668A4527"/>
    <w:rsid w:val="680B78E9"/>
    <w:rsid w:val="68294213"/>
    <w:rsid w:val="69C253FB"/>
    <w:rsid w:val="6A7F636D"/>
    <w:rsid w:val="6C134FBF"/>
    <w:rsid w:val="6C17459F"/>
    <w:rsid w:val="6CDD437B"/>
    <w:rsid w:val="6D061E46"/>
    <w:rsid w:val="6DB36A59"/>
    <w:rsid w:val="6E5518BE"/>
    <w:rsid w:val="6EFE00B7"/>
    <w:rsid w:val="6EFF0082"/>
    <w:rsid w:val="6FB3A2E1"/>
    <w:rsid w:val="70AB532A"/>
    <w:rsid w:val="71184E25"/>
    <w:rsid w:val="720930EC"/>
    <w:rsid w:val="733817AF"/>
    <w:rsid w:val="744C3764"/>
    <w:rsid w:val="75E1612D"/>
    <w:rsid w:val="763829FD"/>
    <w:rsid w:val="77470212"/>
    <w:rsid w:val="776C1A27"/>
    <w:rsid w:val="79921C19"/>
    <w:rsid w:val="79F91C98"/>
    <w:rsid w:val="7A0A34B2"/>
    <w:rsid w:val="7ADA0188"/>
    <w:rsid w:val="7DFF0AF7"/>
    <w:rsid w:val="7F954211"/>
    <w:rsid w:val="7FE134F5"/>
    <w:rsid w:val="AD991597"/>
    <w:rsid w:val="BF5B6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w:basedOn w:val="1"/>
    <w:qFormat/>
    <w:uiPriority w:val="0"/>
    <w:pPr>
      <w:widowControl w:val="0"/>
      <w:spacing w:after="120" w:afterLines="0" w:afterAutospacing="0" w:line="600" w:lineRule="exact"/>
      <w:ind w:firstLine="640" w:firstLineChars="200"/>
      <w:jc w:val="both"/>
    </w:pPr>
    <w:rPr>
      <w:rFonts w:ascii="Times New Roman" w:hAnsi="Times New Roman" w:eastAsia="仿宋_GB2312" w:cs="Times New Roman"/>
      <w:spacing w:val="-6"/>
      <w:kern w:val="2"/>
      <w:sz w:val="32"/>
      <w:lang w:val="en-US" w:eastAsia="zh-CN" w:bidi="ar-SA"/>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4873</Words>
  <Characters>5073</Characters>
  <Lines>0</Lines>
  <Paragraphs>0</Paragraphs>
  <TotalTime>0</TotalTime>
  <ScaleCrop>false</ScaleCrop>
  <LinksUpToDate>false</LinksUpToDate>
  <CharactersWithSpaces>5079</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2022-12-21T03:56:00Z</dcterms:created>
  <dc:creator>user</dc:creator>
  <cp:lastModifiedBy>lenovo</cp:lastModifiedBy>
  <dcterms:modified xsi:type="dcterms:W3CDTF">2026-09-24T09:16:45Z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7B8CB5060F9C4C5E9222ADC8C801E71F</vt:lpwstr>
  </property>
</Properties>
</file>